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1A1" w:rsidRPr="00122551" w:rsidRDefault="00BD51A1" w:rsidP="00BD51A1">
      <w:pPr>
        <w:pStyle w:val="NoSpacing"/>
        <w:jc w:val="center"/>
        <w:rPr>
          <w:rFonts w:ascii="Arial" w:hAnsi="Arial" w:cs="Arial"/>
          <w:b/>
          <w:sz w:val="20"/>
          <w:szCs w:val="20"/>
        </w:rPr>
      </w:pPr>
      <w:bookmarkStart w:id="0" w:name="_GoBack"/>
      <w:r w:rsidRPr="00122551">
        <w:rPr>
          <w:rFonts w:ascii="Arial" w:hAnsi="Arial" w:cs="Arial"/>
          <w:b/>
          <w:sz w:val="20"/>
          <w:szCs w:val="20"/>
        </w:rPr>
        <w:t xml:space="preserve">ДОКЛАД </w:t>
      </w:r>
    </w:p>
    <w:p w:rsidR="00BD51A1" w:rsidRPr="00122551" w:rsidRDefault="00BD51A1" w:rsidP="00BD51A1">
      <w:pPr>
        <w:pStyle w:val="NoSpacing"/>
        <w:jc w:val="center"/>
        <w:rPr>
          <w:rFonts w:ascii="Arial" w:hAnsi="Arial" w:cs="Arial"/>
          <w:b/>
          <w:sz w:val="20"/>
          <w:szCs w:val="20"/>
        </w:rPr>
      </w:pPr>
      <w:r w:rsidRPr="00122551">
        <w:rPr>
          <w:rFonts w:ascii="Arial" w:hAnsi="Arial" w:cs="Arial"/>
          <w:b/>
          <w:sz w:val="20"/>
          <w:szCs w:val="20"/>
        </w:rPr>
        <w:t>ЗА ПРИЛАГАНЕ И ИЗПЪЛНЕНИЕ НА ПОЛИТИКАТА ЗА ВЪЗНАГРАЖДЕНИЯТА</w:t>
      </w:r>
      <w:bookmarkEnd w:id="0"/>
    </w:p>
    <w:p w:rsidR="00BD51A1" w:rsidRPr="00122551" w:rsidRDefault="00BD51A1" w:rsidP="00BD51A1">
      <w:pPr>
        <w:pStyle w:val="NoSpacing"/>
        <w:jc w:val="center"/>
        <w:rPr>
          <w:rFonts w:ascii="Arial" w:hAnsi="Arial" w:cs="Arial"/>
          <w:b/>
          <w:sz w:val="20"/>
          <w:szCs w:val="20"/>
        </w:rPr>
      </w:pPr>
      <w:r w:rsidRPr="00122551">
        <w:rPr>
          <w:rFonts w:ascii="Arial" w:hAnsi="Arial" w:cs="Arial"/>
          <w:b/>
          <w:sz w:val="20"/>
          <w:szCs w:val="20"/>
        </w:rPr>
        <w:t>НА ЧЛЕНОВЕТЕ НА НАДЗОРНИЯ И УПРАВИТЕЛНИЯ СЪВЕТ</w:t>
      </w:r>
    </w:p>
    <w:p w:rsidR="00BD51A1" w:rsidRPr="00122551" w:rsidRDefault="00BD51A1" w:rsidP="00BD51A1">
      <w:pPr>
        <w:pStyle w:val="NoSpacing"/>
        <w:jc w:val="center"/>
        <w:rPr>
          <w:rFonts w:ascii="Arial" w:hAnsi="Arial" w:cs="Arial"/>
          <w:b/>
          <w:sz w:val="20"/>
          <w:szCs w:val="20"/>
        </w:rPr>
      </w:pPr>
      <w:r w:rsidRPr="00122551">
        <w:rPr>
          <w:rFonts w:ascii="Arial" w:hAnsi="Arial" w:cs="Arial"/>
          <w:b/>
          <w:sz w:val="20"/>
          <w:szCs w:val="20"/>
        </w:rPr>
        <w:t>НА „ЗЪРНЕНИ ХРАНИ БЪЛГАРИЯ”АД,</w:t>
      </w:r>
    </w:p>
    <w:p w:rsidR="00BD51A1" w:rsidRPr="00122551" w:rsidRDefault="00BD51A1" w:rsidP="00BD51A1">
      <w:pPr>
        <w:pStyle w:val="NoSpacing"/>
        <w:jc w:val="center"/>
        <w:rPr>
          <w:rFonts w:ascii="Arial" w:hAnsi="Arial" w:cs="Arial"/>
          <w:b/>
          <w:sz w:val="20"/>
          <w:szCs w:val="20"/>
        </w:rPr>
      </w:pPr>
      <w:r w:rsidRPr="00122551">
        <w:rPr>
          <w:rFonts w:ascii="Arial" w:hAnsi="Arial" w:cs="Arial"/>
          <w:b/>
          <w:sz w:val="20"/>
          <w:szCs w:val="20"/>
        </w:rPr>
        <w:t>през финансовата 202</w:t>
      </w:r>
      <w:r w:rsidRPr="002A3F11">
        <w:rPr>
          <w:rFonts w:ascii="Arial" w:hAnsi="Arial" w:cs="Arial"/>
          <w:b/>
          <w:sz w:val="20"/>
          <w:szCs w:val="20"/>
        </w:rPr>
        <w:t>5</w:t>
      </w:r>
      <w:r w:rsidRPr="00122551">
        <w:rPr>
          <w:rFonts w:ascii="Arial" w:hAnsi="Arial" w:cs="Arial"/>
          <w:b/>
          <w:sz w:val="20"/>
          <w:szCs w:val="20"/>
        </w:rPr>
        <w:t xml:space="preserve"> г.</w:t>
      </w:r>
    </w:p>
    <w:p w:rsidR="00BD51A1" w:rsidRPr="00122551" w:rsidRDefault="00BD51A1" w:rsidP="00BD51A1">
      <w:pPr>
        <w:pStyle w:val="NoSpacing"/>
        <w:jc w:val="both"/>
        <w:rPr>
          <w:rFonts w:ascii="Arial" w:hAnsi="Arial" w:cs="Arial"/>
          <w:i/>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Изготвен на основание чл.12 от Наредба № 48 на Комисията за финансов надзор от 20 март 2013 г. за изискванията към възнагражденията и разкрива начина, по който дружеството прилага политика за възнагражденията на членовете на Надзорния и Управителния съвет</w:t>
      </w:r>
      <w:r>
        <w:rPr>
          <w:rFonts w:ascii="Arial" w:hAnsi="Arial" w:cs="Arial"/>
          <w:b/>
          <w:sz w:val="20"/>
          <w:szCs w:val="20"/>
        </w:rPr>
        <w:t>и</w:t>
      </w:r>
      <w:r w:rsidRPr="00122551">
        <w:rPr>
          <w:rFonts w:ascii="Arial" w:hAnsi="Arial" w:cs="Arial"/>
          <w:b/>
          <w:sz w:val="20"/>
          <w:szCs w:val="20"/>
        </w:rPr>
        <w:t xml:space="preserve"> на дружеството. </w:t>
      </w: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Политиката за възнагражденията на членовете на Надзорния и Управителния съвет</w:t>
      </w:r>
      <w:r>
        <w:rPr>
          <w:rFonts w:ascii="Arial" w:hAnsi="Arial" w:cs="Arial"/>
          <w:b/>
          <w:sz w:val="20"/>
          <w:szCs w:val="20"/>
        </w:rPr>
        <w:t>и</w:t>
      </w:r>
      <w:r w:rsidRPr="00122551">
        <w:rPr>
          <w:rFonts w:ascii="Arial" w:hAnsi="Arial" w:cs="Arial"/>
          <w:b/>
          <w:sz w:val="20"/>
          <w:szCs w:val="20"/>
        </w:rPr>
        <w:t xml:space="preserve"> на „Зърнени храни България” АД е приета и утвърдена на заседание на Общото събрание на акционерите от 28 юни 2013 г.; </w:t>
      </w:r>
      <w:proofErr w:type="spellStart"/>
      <w:r w:rsidRPr="00122551">
        <w:rPr>
          <w:rFonts w:ascii="Arial" w:hAnsi="Arial" w:cs="Arial"/>
          <w:b/>
          <w:sz w:val="20"/>
          <w:szCs w:val="20"/>
        </w:rPr>
        <w:t>посл</w:t>
      </w:r>
      <w:proofErr w:type="spellEnd"/>
      <w:r w:rsidRPr="00122551">
        <w:rPr>
          <w:rFonts w:ascii="Arial" w:hAnsi="Arial" w:cs="Arial"/>
          <w:b/>
          <w:sz w:val="20"/>
          <w:szCs w:val="20"/>
        </w:rPr>
        <w:t xml:space="preserve">. изм. и доп. съгласно решение по т.10 от заседание на Общото събрание на акционерите от 30.09.2020 г. </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Настоящият доклад съдържа преглед на начина, по който политиката за възнагражденията на членовете на Надзорния и Управителния съвети е прилагана за отчетната 202</w:t>
      </w:r>
      <w:r w:rsidRPr="002A3F11">
        <w:rPr>
          <w:rFonts w:ascii="Arial" w:hAnsi="Arial" w:cs="Arial"/>
          <w:sz w:val="20"/>
          <w:szCs w:val="20"/>
        </w:rPr>
        <w:t>5</w:t>
      </w:r>
      <w:r w:rsidRPr="00122551">
        <w:rPr>
          <w:rFonts w:ascii="Arial" w:hAnsi="Arial" w:cs="Arial"/>
          <w:sz w:val="20"/>
          <w:szCs w:val="20"/>
        </w:rPr>
        <w:t xml:space="preserve"> г. и програма за прилагане на политиката през следващата финансова година. Същият отразява фактическото прилагане на обективни критерии за формиране на възнагражденията, с оглед на привличане и задържане на квалифицирани и лоялни членове на съветите и мотивирането им да работят в интерес на дружеството и акционерите, като избягват потенциален и реален конфликт на интереси.</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 Информация относно процеса на вземане на решения при определяне на политиката за възнагражденията, включително, ако е приложимо, информация за мандата и състава на комитета по възнагражденията, имената на външните консултанти, чиито услуги са били използвани при определянето на политиката за възнагражденията</w:t>
      </w:r>
    </w:p>
    <w:p w:rsidR="00BD51A1" w:rsidRPr="00BD51A1" w:rsidRDefault="00BD51A1" w:rsidP="00BD51A1">
      <w:pPr>
        <w:pStyle w:val="NoSpacing"/>
        <w:ind w:firstLine="708"/>
        <w:jc w:val="both"/>
        <w:rPr>
          <w:rStyle w:val="a"/>
          <w:rFonts w:ascii="Arial" w:eastAsia="Courier New" w:hAnsi="Arial" w:cs="Arial"/>
          <w:sz w:val="20"/>
          <w:szCs w:val="20"/>
          <w:lang w:val="bg-BG"/>
        </w:rPr>
      </w:pPr>
    </w:p>
    <w:p w:rsidR="00BD51A1" w:rsidRPr="00BD51A1" w:rsidRDefault="00BD51A1" w:rsidP="00BD51A1">
      <w:pPr>
        <w:pStyle w:val="NoSpacing"/>
        <w:ind w:firstLine="708"/>
        <w:jc w:val="both"/>
        <w:rPr>
          <w:rStyle w:val="a"/>
          <w:rFonts w:ascii="Arial" w:eastAsia="Courier New" w:hAnsi="Arial" w:cs="Arial"/>
          <w:sz w:val="20"/>
          <w:szCs w:val="20"/>
          <w:lang w:val="bg-BG"/>
        </w:rPr>
      </w:pPr>
      <w:r w:rsidRPr="00BD51A1">
        <w:rPr>
          <w:rStyle w:val="a"/>
          <w:rFonts w:ascii="Arial" w:eastAsia="Courier New" w:hAnsi="Arial" w:cs="Arial"/>
          <w:sz w:val="20"/>
          <w:szCs w:val="20"/>
          <w:lang w:val="bg-BG"/>
        </w:rPr>
        <w:t xml:space="preserve">Политиката за възнагражденията </w:t>
      </w:r>
      <w:r w:rsidRPr="00122551">
        <w:rPr>
          <w:rFonts w:ascii="Arial" w:hAnsi="Arial" w:cs="Arial"/>
          <w:sz w:val="20"/>
          <w:szCs w:val="20"/>
        </w:rPr>
        <w:t>на членовете на Надзорния и Управителния съвет</w:t>
      </w:r>
      <w:r>
        <w:rPr>
          <w:rFonts w:ascii="Arial" w:hAnsi="Arial" w:cs="Arial"/>
          <w:sz w:val="20"/>
          <w:szCs w:val="20"/>
        </w:rPr>
        <w:t>и</w:t>
      </w:r>
      <w:r w:rsidRPr="00122551">
        <w:rPr>
          <w:rFonts w:ascii="Arial" w:hAnsi="Arial" w:cs="Arial"/>
          <w:sz w:val="20"/>
          <w:szCs w:val="20"/>
        </w:rPr>
        <w:t xml:space="preserve"> на „Зърнени храни България” АД</w:t>
      </w:r>
      <w:r w:rsidRPr="00122551">
        <w:rPr>
          <w:rFonts w:ascii="Arial" w:hAnsi="Arial" w:cs="Arial"/>
          <w:b/>
          <w:sz w:val="20"/>
          <w:szCs w:val="20"/>
        </w:rPr>
        <w:t xml:space="preserve"> </w:t>
      </w:r>
      <w:r w:rsidRPr="00BD51A1">
        <w:rPr>
          <w:rStyle w:val="a"/>
          <w:rFonts w:ascii="Arial" w:eastAsia="Courier New" w:hAnsi="Arial" w:cs="Arial"/>
          <w:sz w:val="20"/>
          <w:szCs w:val="20"/>
          <w:lang w:val="bg-BG"/>
        </w:rPr>
        <w:t xml:space="preserve">е разработена от Надзорния съвет на дружеството с активното участие на независимия член на Надзорния съвет, на функционално независими и компетентни експерти от Дружеството, които осигуриха независима преценка за целесъобразността на Политиката. </w:t>
      </w:r>
    </w:p>
    <w:p w:rsidR="00BD51A1" w:rsidRPr="00BD51A1" w:rsidRDefault="00BD51A1" w:rsidP="00BD51A1">
      <w:pPr>
        <w:pStyle w:val="NoSpacing"/>
        <w:ind w:firstLine="708"/>
        <w:jc w:val="both"/>
        <w:rPr>
          <w:rStyle w:val="a"/>
          <w:rFonts w:ascii="Arial" w:eastAsia="Courier New" w:hAnsi="Arial" w:cs="Arial"/>
          <w:sz w:val="20"/>
          <w:szCs w:val="20"/>
          <w:lang w:val="bg-BG"/>
        </w:rPr>
      </w:pPr>
      <w:r w:rsidRPr="00BD51A1">
        <w:rPr>
          <w:rStyle w:val="a"/>
          <w:rFonts w:ascii="Arial" w:eastAsia="Courier New" w:hAnsi="Arial" w:cs="Arial"/>
          <w:sz w:val="20"/>
          <w:szCs w:val="20"/>
          <w:lang w:val="bg-BG"/>
        </w:rPr>
        <w:t xml:space="preserve">Същата е приета с решение на редовното ОС на акционерите на </w:t>
      </w:r>
      <w:r w:rsidRPr="00122551">
        <w:rPr>
          <w:rFonts w:ascii="Arial" w:hAnsi="Arial" w:cs="Arial"/>
          <w:sz w:val="20"/>
          <w:szCs w:val="20"/>
        </w:rPr>
        <w:t>„Зърнени храни България” АД</w:t>
      </w:r>
      <w:r w:rsidRPr="00BD51A1">
        <w:rPr>
          <w:rStyle w:val="a"/>
          <w:rFonts w:ascii="Arial" w:eastAsia="Courier New" w:hAnsi="Arial" w:cs="Arial"/>
          <w:sz w:val="20"/>
          <w:szCs w:val="20"/>
          <w:lang w:val="bg-BG"/>
        </w:rPr>
        <w:t xml:space="preserve"> проведено на 28.06.2013 г.,</w:t>
      </w:r>
      <w:r w:rsidRPr="00122551">
        <w:rPr>
          <w:rFonts w:ascii="Arial" w:hAnsi="Arial" w:cs="Arial"/>
          <w:b/>
          <w:sz w:val="20"/>
          <w:szCs w:val="20"/>
        </w:rPr>
        <w:t xml:space="preserve"> </w:t>
      </w:r>
      <w:proofErr w:type="spellStart"/>
      <w:r w:rsidRPr="00122551">
        <w:rPr>
          <w:rFonts w:ascii="Arial" w:hAnsi="Arial" w:cs="Arial"/>
          <w:sz w:val="20"/>
          <w:szCs w:val="20"/>
        </w:rPr>
        <w:t>посл</w:t>
      </w:r>
      <w:proofErr w:type="spellEnd"/>
      <w:r w:rsidRPr="00122551">
        <w:rPr>
          <w:rFonts w:ascii="Arial" w:hAnsi="Arial" w:cs="Arial"/>
          <w:sz w:val="20"/>
          <w:szCs w:val="20"/>
        </w:rPr>
        <w:t xml:space="preserve">. изм. и доп. съгласно решение по т.10 от заседание на Общото събрание на акционерите от 30.09.2020 г. </w:t>
      </w:r>
      <w:r w:rsidRPr="00BD51A1">
        <w:rPr>
          <w:rStyle w:val="a"/>
          <w:rFonts w:ascii="Arial" w:eastAsia="Courier New" w:hAnsi="Arial" w:cs="Arial"/>
          <w:sz w:val="20"/>
          <w:szCs w:val="20"/>
          <w:lang w:val="bg-BG"/>
        </w:rPr>
        <w:t>и е качена на интернет-страницата на дружеството.</w:t>
      </w:r>
    </w:p>
    <w:p w:rsidR="00BD51A1" w:rsidRPr="00122551" w:rsidRDefault="00BD51A1" w:rsidP="00BD51A1">
      <w:pPr>
        <w:autoSpaceDE w:val="0"/>
        <w:autoSpaceDN w:val="0"/>
        <w:adjustRightInd w:val="0"/>
        <w:ind w:firstLine="708"/>
        <w:jc w:val="both"/>
        <w:rPr>
          <w:rFonts w:ascii="Arial" w:hAnsi="Arial"/>
          <w:sz w:val="20"/>
        </w:rPr>
      </w:pPr>
      <w:r w:rsidRPr="00122551">
        <w:rPr>
          <w:rFonts w:ascii="Arial" w:hAnsi="Arial"/>
          <w:sz w:val="20"/>
        </w:rPr>
        <w:t xml:space="preserve">През отчетната финансова година „Зърнени храни България” АД е прилагало Политиката за възнагражденията на членовете на Управителния и Надзорния съвет в съответствие с нормативните изисквания за публичните дружества, целите, дългосрочните интереси и стратегията за бъдещо развитие на дружеството, както и финансово-икономическото му положение в контекста на националната и европейска икономическа конюнктура. </w:t>
      </w:r>
    </w:p>
    <w:p w:rsidR="00BD51A1" w:rsidRPr="00122551" w:rsidRDefault="00BD51A1" w:rsidP="00BD51A1">
      <w:pPr>
        <w:autoSpaceDE w:val="0"/>
        <w:autoSpaceDN w:val="0"/>
        <w:adjustRightInd w:val="0"/>
        <w:ind w:firstLine="708"/>
        <w:jc w:val="both"/>
        <w:rPr>
          <w:rFonts w:ascii="Arial" w:hAnsi="Arial"/>
          <w:bCs/>
          <w:sz w:val="20"/>
        </w:rPr>
      </w:pPr>
      <w:r w:rsidRPr="00122551">
        <w:rPr>
          <w:rFonts w:ascii="Arial" w:hAnsi="Arial"/>
          <w:sz w:val="20"/>
        </w:rPr>
        <w:t>„Зърнени храни България” АД оповестява политиката си за възнагражденията и всяка последваща промяна в нея по ясен и достъпен начин, без да разкрива чувствителна търговска информация или друга информация, представляваща защитена от закона тайна, посредством публикуването й на електронната страница на дружеството. Настоящият доклад също ще бъде публично оповестен посредством публикуването му на електронната страница на дружеството.</w:t>
      </w:r>
    </w:p>
    <w:p w:rsidR="00BD51A1" w:rsidRPr="00122551" w:rsidRDefault="00BD51A1" w:rsidP="00BD51A1">
      <w:pPr>
        <w:ind w:left="20" w:firstLine="720"/>
        <w:jc w:val="both"/>
        <w:rPr>
          <w:rFonts w:ascii="Arial" w:hAnsi="Arial"/>
          <w:sz w:val="20"/>
        </w:rPr>
      </w:pPr>
      <w:r w:rsidRPr="00122551">
        <w:rPr>
          <w:rFonts w:ascii="Arial" w:hAnsi="Arial"/>
          <w:sz w:val="20"/>
        </w:rPr>
        <w:t>През отчетния период дружеството няма Комитет по възнагражденията.</w:t>
      </w:r>
    </w:p>
    <w:p w:rsidR="00BD51A1" w:rsidRPr="0012255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2. Информация относно относителната тежест на променливото и постоянното възнаграждение на членовете на управителните и контролните органи;</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През изтеклата финансова година членовете на Управителния и Надзорен съвет</w:t>
      </w:r>
      <w:r>
        <w:rPr>
          <w:rFonts w:ascii="Arial" w:hAnsi="Arial" w:cs="Arial"/>
          <w:sz w:val="20"/>
          <w:szCs w:val="20"/>
        </w:rPr>
        <w:t>и</w:t>
      </w:r>
      <w:r w:rsidRPr="00122551">
        <w:rPr>
          <w:rFonts w:ascii="Arial" w:hAnsi="Arial" w:cs="Arial"/>
          <w:sz w:val="20"/>
          <w:szCs w:val="20"/>
        </w:rPr>
        <w:t xml:space="preserve"> на „Зърнени храни България” АД са получавали възнаграждени</w:t>
      </w:r>
      <w:r>
        <w:rPr>
          <w:rFonts w:ascii="Arial" w:hAnsi="Arial" w:cs="Arial"/>
          <w:sz w:val="20"/>
          <w:szCs w:val="20"/>
        </w:rPr>
        <w:t>я,</w:t>
      </w:r>
      <w:r w:rsidRPr="00122551">
        <w:rPr>
          <w:rFonts w:ascii="Arial" w:hAnsi="Arial" w:cs="Arial"/>
          <w:sz w:val="20"/>
          <w:szCs w:val="20"/>
        </w:rPr>
        <w:t xml:space="preserve"> определен</w:t>
      </w:r>
      <w:r>
        <w:rPr>
          <w:rFonts w:ascii="Arial" w:hAnsi="Arial" w:cs="Arial"/>
          <w:sz w:val="20"/>
          <w:szCs w:val="20"/>
        </w:rPr>
        <w:t>и</w:t>
      </w:r>
      <w:r w:rsidRPr="00122551">
        <w:rPr>
          <w:rFonts w:ascii="Arial" w:hAnsi="Arial" w:cs="Arial"/>
          <w:sz w:val="20"/>
          <w:szCs w:val="20"/>
        </w:rPr>
        <w:t xml:space="preserve"> по размер от Общото събрание на акционерите.</w:t>
      </w:r>
    </w:p>
    <w:p w:rsidR="00BD51A1" w:rsidRPr="00122551" w:rsidRDefault="00BD51A1" w:rsidP="00BD51A1">
      <w:pPr>
        <w:pStyle w:val="NoSpacing"/>
        <w:ind w:firstLine="708"/>
        <w:jc w:val="both"/>
        <w:rPr>
          <w:rFonts w:ascii="Arial" w:hAnsi="Arial" w:cs="Arial"/>
          <w:sz w:val="20"/>
          <w:szCs w:val="20"/>
        </w:rPr>
      </w:pPr>
      <w:r>
        <w:rPr>
          <w:rFonts w:ascii="Arial" w:hAnsi="Arial" w:cs="Arial"/>
          <w:sz w:val="20"/>
          <w:szCs w:val="20"/>
        </w:rPr>
        <w:t>П</w:t>
      </w:r>
      <w:r w:rsidRPr="00122551">
        <w:rPr>
          <w:rFonts w:ascii="Arial" w:hAnsi="Arial" w:cs="Arial"/>
          <w:sz w:val="20"/>
          <w:szCs w:val="20"/>
        </w:rPr>
        <w:t xml:space="preserve">роменливо възнаграждение не </w:t>
      </w:r>
      <w:r>
        <w:rPr>
          <w:rFonts w:ascii="Arial" w:hAnsi="Arial" w:cs="Arial"/>
          <w:sz w:val="20"/>
          <w:szCs w:val="20"/>
        </w:rPr>
        <w:t>е</w:t>
      </w:r>
      <w:r w:rsidRPr="00122551">
        <w:rPr>
          <w:rFonts w:ascii="Arial" w:hAnsi="Arial" w:cs="Arial"/>
          <w:sz w:val="20"/>
          <w:szCs w:val="20"/>
        </w:rPr>
        <w:t xml:space="preserve"> пред</w:t>
      </w:r>
      <w:r>
        <w:rPr>
          <w:rFonts w:ascii="Arial" w:hAnsi="Arial" w:cs="Arial"/>
          <w:sz w:val="20"/>
          <w:szCs w:val="20"/>
        </w:rPr>
        <w:t>оставяно през текущия и предходния периоди от компетентния орган</w:t>
      </w:r>
      <w:r w:rsidRPr="00122551">
        <w:rPr>
          <w:rFonts w:ascii="Arial" w:hAnsi="Arial" w:cs="Arial"/>
          <w:sz w:val="20"/>
          <w:szCs w:val="20"/>
        </w:rPr>
        <w:t>.</w:t>
      </w:r>
    </w:p>
    <w:p w:rsidR="00BD51A1" w:rsidRDefault="00BD51A1" w:rsidP="00BD51A1">
      <w:pPr>
        <w:pStyle w:val="NoSpacing"/>
        <w:jc w:val="both"/>
        <w:rPr>
          <w:rFonts w:ascii="Arial" w:hAnsi="Arial" w:cs="Arial"/>
          <w:sz w:val="20"/>
          <w:szCs w:val="20"/>
        </w:rPr>
      </w:pP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lastRenderedPageBreak/>
        <w:t>3. Информация относно критериите за постигнати резултати, въз основа на които се предоставят опции върху акции, акции на дружеството или друг вид променливо възнаграждение и обяснение как тези критерии допринасят за дългосрочните интереси на дружеството</w:t>
      </w:r>
    </w:p>
    <w:p w:rsidR="00BD51A1" w:rsidRPr="00122551" w:rsidRDefault="00BD51A1" w:rsidP="00BD51A1">
      <w:pPr>
        <w:autoSpaceDE w:val="0"/>
        <w:autoSpaceDN w:val="0"/>
        <w:adjustRightInd w:val="0"/>
        <w:ind w:firstLine="708"/>
        <w:jc w:val="both"/>
        <w:rPr>
          <w:rFonts w:ascii="Arial" w:hAnsi="Arial"/>
          <w:sz w:val="20"/>
        </w:rPr>
      </w:pPr>
    </w:p>
    <w:p w:rsidR="00BD51A1" w:rsidRPr="00122551" w:rsidRDefault="00BD51A1" w:rsidP="00BD51A1">
      <w:pPr>
        <w:autoSpaceDE w:val="0"/>
        <w:autoSpaceDN w:val="0"/>
        <w:adjustRightInd w:val="0"/>
        <w:ind w:firstLine="708"/>
        <w:jc w:val="both"/>
        <w:rPr>
          <w:rFonts w:ascii="Arial" w:hAnsi="Arial"/>
          <w:sz w:val="20"/>
        </w:rPr>
      </w:pPr>
      <w:r w:rsidRPr="00122551">
        <w:rPr>
          <w:rFonts w:ascii="Arial" w:hAnsi="Arial"/>
          <w:sz w:val="20"/>
        </w:rPr>
        <w:t>Съгласно действащата Политика за възнагражденията на членовете на Надзорния и Управителния съвет</w:t>
      </w:r>
      <w:r>
        <w:rPr>
          <w:rFonts w:ascii="Arial" w:hAnsi="Arial"/>
          <w:sz w:val="20"/>
        </w:rPr>
        <w:t>и</w:t>
      </w:r>
      <w:r w:rsidRPr="00122551">
        <w:rPr>
          <w:rFonts w:ascii="Arial" w:hAnsi="Arial"/>
          <w:sz w:val="20"/>
        </w:rPr>
        <w:t xml:space="preserve"> на „Зърнени храни България” АД има предвидена възможност за предоставяне на опции върху акции, акции на дружеството или друг вид променливо възнаграждение. От момента на приемане на цитираната политика до настоящия момент, няма взето решение от компетентния орган в дружеството за компенсиране на корпоративното ръководство чрез акции или опции или друг вид променливо възнаграждение.</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4. Пояснение на прилаганите методи за преценка дали са изпълнени критериите за постигнатите резултати</w:t>
      </w:r>
    </w:p>
    <w:p w:rsidR="00BD51A1" w:rsidRPr="00BD51A1" w:rsidRDefault="00BD51A1" w:rsidP="00BD51A1">
      <w:pPr>
        <w:pStyle w:val="NoSpacing"/>
        <w:ind w:firstLine="708"/>
        <w:jc w:val="both"/>
        <w:rPr>
          <w:rStyle w:val="a"/>
          <w:rFonts w:ascii="Arial" w:eastAsia="Courier New" w:hAnsi="Arial" w:cs="Arial"/>
          <w:i/>
          <w:sz w:val="20"/>
          <w:szCs w:val="20"/>
          <w:lang w:val="bg-BG"/>
        </w:rPr>
      </w:pPr>
    </w:p>
    <w:p w:rsidR="00BD51A1" w:rsidRPr="00122551" w:rsidRDefault="00BD51A1" w:rsidP="00BD51A1">
      <w:pPr>
        <w:pStyle w:val="NoSpacing"/>
        <w:ind w:firstLine="708"/>
        <w:jc w:val="both"/>
        <w:rPr>
          <w:rFonts w:ascii="Arial" w:hAnsi="Arial" w:cs="Arial"/>
          <w:sz w:val="20"/>
          <w:szCs w:val="20"/>
        </w:rPr>
      </w:pPr>
      <w:r w:rsidRPr="00BD51A1">
        <w:rPr>
          <w:rStyle w:val="a"/>
          <w:rFonts w:ascii="Arial" w:eastAsia="Courier New" w:hAnsi="Arial" w:cs="Arial"/>
          <w:sz w:val="20"/>
          <w:szCs w:val="20"/>
          <w:lang w:val="bg-BG"/>
        </w:rPr>
        <w:t>При формиране на възнагражденията на членовете на Надзорния и Управителния съвети на дружеството са приложени следните основни принципи и методи:</w:t>
      </w:r>
    </w:p>
    <w:p w:rsidR="00BD51A1" w:rsidRPr="00122551" w:rsidRDefault="00BD51A1" w:rsidP="00BD51A1">
      <w:pPr>
        <w:pStyle w:val="NoSpacing"/>
        <w:numPr>
          <w:ilvl w:val="0"/>
          <w:numId w:val="1"/>
        </w:numPr>
        <w:jc w:val="both"/>
        <w:rPr>
          <w:rFonts w:ascii="Arial" w:hAnsi="Arial" w:cs="Arial"/>
          <w:sz w:val="20"/>
          <w:szCs w:val="20"/>
        </w:rPr>
      </w:pPr>
      <w:r w:rsidRPr="00BD51A1">
        <w:rPr>
          <w:rStyle w:val="a"/>
          <w:rFonts w:ascii="Arial" w:eastAsia="Courier New" w:hAnsi="Arial" w:cs="Arial"/>
          <w:sz w:val="20"/>
          <w:szCs w:val="20"/>
          <w:lang w:val="bg-BG"/>
        </w:rPr>
        <w:t>осигуряване на възнаграждение, което да позволи привличането, задържането и мотивирането на членове на съветите с необходимите качества за успешно управление и развитие на дружеството.</w:t>
      </w:r>
    </w:p>
    <w:p w:rsidR="00BD51A1" w:rsidRPr="00BD51A1" w:rsidRDefault="00BD51A1" w:rsidP="00BD51A1">
      <w:pPr>
        <w:pStyle w:val="NoSpacing"/>
        <w:numPr>
          <w:ilvl w:val="0"/>
          <w:numId w:val="1"/>
        </w:numPr>
        <w:jc w:val="both"/>
        <w:rPr>
          <w:rStyle w:val="a"/>
          <w:rFonts w:ascii="Arial" w:eastAsia="Courier New" w:hAnsi="Arial" w:cs="Arial"/>
          <w:sz w:val="20"/>
          <w:szCs w:val="20"/>
          <w:lang w:val="bg-BG"/>
        </w:rPr>
      </w:pPr>
      <w:r w:rsidRPr="00BD51A1">
        <w:rPr>
          <w:rStyle w:val="a"/>
          <w:rFonts w:ascii="Arial" w:eastAsia="Courier New" w:hAnsi="Arial" w:cs="Arial"/>
          <w:sz w:val="20"/>
          <w:szCs w:val="20"/>
          <w:lang w:val="bg-BG"/>
        </w:rPr>
        <w:t>недопускане на дискриминация, конфликт на интереси и неравностойно третиране на членовете на Надзорния и Управителният съвети на дружеството при определяне и договаряне на възнагражденията.</w:t>
      </w:r>
    </w:p>
    <w:p w:rsidR="00BD51A1" w:rsidRPr="00122551" w:rsidRDefault="00BD51A1" w:rsidP="00BD51A1">
      <w:pPr>
        <w:pStyle w:val="NoSpacing"/>
        <w:numPr>
          <w:ilvl w:val="0"/>
          <w:numId w:val="1"/>
        </w:numPr>
        <w:jc w:val="both"/>
        <w:rPr>
          <w:rFonts w:ascii="Arial" w:hAnsi="Arial" w:cs="Arial"/>
          <w:sz w:val="20"/>
          <w:szCs w:val="20"/>
        </w:rPr>
      </w:pPr>
      <w:r w:rsidRPr="00122551">
        <w:rPr>
          <w:rFonts w:ascii="Arial" w:hAnsi="Arial" w:cs="Arial"/>
          <w:sz w:val="20"/>
          <w:szCs w:val="20"/>
        </w:rPr>
        <w:t>отчитане на задълженията и приноса на всеки един от членовете на Управителния съвет в дейността и резултатите на дружеството.</w:t>
      </w:r>
    </w:p>
    <w:p w:rsidR="00BD51A1" w:rsidRPr="00122551" w:rsidRDefault="00BD51A1" w:rsidP="00BD51A1">
      <w:pPr>
        <w:pStyle w:val="NoSpacing"/>
        <w:numPr>
          <w:ilvl w:val="0"/>
          <w:numId w:val="1"/>
        </w:numPr>
        <w:jc w:val="both"/>
        <w:rPr>
          <w:rFonts w:ascii="Arial" w:hAnsi="Arial" w:cs="Arial"/>
          <w:sz w:val="20"/>
          <w:szCs w:val="20"/>
        </w:rPr>
      </w:pPr>
      <w:r w:rsidRPr="00122551">
        <w:rPr>
          <w:rStyle w:val="1"/>
          <w:rFonts w:ascii="Arial" w:eastAsia="Courier New" w:hAnsi="Arial" w:cs="Arial"/>
          <w:sz w:val="20"/>
          <w:szCs w:val="20"/>
        </w:rPr>
        <w:t xml:space="preserve">осъществяване на технологично обновление и развитие в дейността на дружеството и увеличаване на производителността и качеството на труда </w:t>
      </w:r>
      <w:r w:rsidRPr="00122551">
        <w:rPr>
          <w:rFonts w:ascii="Arial" w:hAnsi="Arial" w:cs="Arial"/>
          <w:sz w:val="20"/>
          <w:szCs w:val="20"/>
        </w:rPr>
        <w:t xml:space="preserve">в </w:t>
      </w:r>
      <w:r w:rsidRPr="00122551">
        <w:rPr>
          <w:rStyle w:val="1"/>
          <w:rFonts w:ascii="Arial" w:eastAsia="Courier New" w:hAnsi="Arial" w:cs="Arial"/>
          <w:sz w:val="20"/>
          <w:szCs w:val="20"/>
        </w:rPr>
        <w:t>дружеството;</w:t>
      </w:r>
    </w:p>
    <w:p w:rsidR="00BD51A1" w:rsidRPr="00122551" w:rsidRDefault="00BD51A1" w:rsidP="00BD51A1">
      <w:pPr>
        <w:pStyle w:val="NoSpacing"/>
        <w:numPr>
          <w:ilvl w:val="0"/>
          <w:numId w:val="1"/>
        </w:numPr>
        <w:jc w:val="both"/>
        <w:rPr>
          <w:rFonts w:ascii="Arial" w:hAnsi="Arial" w:cs="Arial"/>
          <w:sz w:val="20"/>
          <w:szCs w:val="20"/>
        </w:rPr>
      </w:pPr>
      <w:r w:rsidRPr="00122551">
        <w:rPr>
          <w:rStyle w:val="1"/>
          <w:rFonts w:ascii="Arial" w:eastAsia="Courier New" w:hAnsi="Arial" w:cs="Arial"/>
          <w:sz w:val="20"/>
          <w:szCs w:val="20"/>
        </w:rPr>
        <w:t>подобряване на бизнес средата, печалба и развитие на дружеството;</w:t>
      </w:r>
    </w:p>
    <w:p w:rsidR="00BD51A1" w:rsidRPr="00122551" w:rsidRDefault="00BD51A1" w:rsidP="00BD51A1">
      <w:pPr>
        <w:pStyle w:val="NoSpacing"/>
        <w:numPr>
          <w:ilvl w:val="0"/>
          <w:numId w:val="1"/>
        </w:numPr>
        <w:jc w:val="both"/>
        <w:rPr>
          <w:rFonts w:ascii="Arial" w:hAnsi="Arial" w:cs="Arial"/>
          <w:sz w:val="20"/>
          <w:szCs w:val="20"/>
        </w:rPr>
      </w:pPr>
      <w:r w:rsidRPr="00122551">
        <w:rPr>
          <w:rStyle w:val="1"/>
          <w:rFonts w:ascii="Arial" w:eastAsia="Courier New" w:hAnsi="Arial" w:cs="Arial"/>
          <w:sz w:val="20"/>
          <w:szCs w:val="20"/>
        </w:rPr>
        <w:t>стабилно и устойчиво развитие на дружеството в икономически, социален и екологичен аспект;</w:t>
      </w:r>
    </w:p>
    <w:p w:rsidR="00BD51A1" w:rsidRPr="00122551" w:rsidRDefault="00BD51A1" w:rsidP="00BD51A1">
      <w:pPr>
        <w:pStyle w:val="NoSpacing"/>
        <w:numPr>
          <w:ilvl w:val="0"/>
          <w:numId w:val="1"/>
        </w:numPr>
        <w:jc w:val="both"/>
        <w:rPr>
          <w:rFonts w:ascii="Arial" w:hAnsi="Arial" w:cs="Arial"/>
          <w:sz w:val="20"/>
          <w:szCs w:val="20"/>
        </w:rPr>
      </w:pPr>
      <w:r w:rsidRPr="00122551">
        <w:rPr>
          <w:rStyle w:val="1"/>
          <w:rFonts w:ascii="Arial" w:eastAsia="Courier New" w:hAnsi="Arial" w:cs="Arial"/>
          <w:sz w:val="20"/>
          <w:szCs w:val="20"/>
        </w:rPr>
        <w:t>спазване на задълженията – работа в интерес на дружеството и лоялност; спазване на дължимата грижа на добрия търговец.</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5. Пояснение относно зависимостта между възнаграждението и постигнатите резултати</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В действащата Политика за възнагражденията на членовете на Надзорния и Управителния съвет</w:t>
      </w:r>
      <w:r>
        <w:rPr>
          <w:rFonts w:ascii="Arial" w:hAnsi="Arial" w:cs="Arial"/>
          <w:sz w:val="20"/>
          <w:szCs w:val="20"/>
        </w:rPr>
        <w:t>и</w:t>
      </w:r>
      <w:r w:rsidRPr="00122551">
        <w:rPr>
          <w:rFonts w:ascii="Arial" w:hAnsi="Arial" w:cs="Arial"/>
          <w:sz w:val="20"/>
          <w:szCs w:val="20"/>
        </w:rPr>
        <w:t xml:space="preserve"> на „Зърнени храни България” АД е установена зависимост между възнагражденията, получавани от членовете на корпоративното ръководство и постигнати резултати. Същата е базирана на</w:t>
      </w:r>
      <w:r w:rsidRPr="00BD51A1">
        <w:rPr>
          <w:rStyle w:val="a"/>
          <w:rFonts w:ascii="Arial" w:eastAsia="Courier New" w:hAnsi="Arial" w:cs="Arial"/>
          <w:sz w:val="20"/>
          <w:szCs w:val="20"/>
          <w:lang w:val="bg-BG"/>
        </w:rPr>
        <w:t xml:space="preserve"> съответствието на възнагражденията с реализирането на бизнес целите и стратегията за развитие на дружеството, защитата на интересите и утвърждаването на ценностите на </w:t>
      </w:r>
      <w:r w:rsidRPr="00871C91">
        <w:rPr>
          <w:rFonts w:ascii="Arial" w:hAnsi="Arial" w:cs="Arial"/>
          <w:sz w:val="20"/>
          <w:szCs w:val="20"/>
        </w:rPr>
        <w:t>„Зърнени храни България” АД.</w:t>
      </w:r>
      <w:r w:rsidRPr="00871C91">
        <w:rPr>
          <w:rFonts w:ascii="Arial" w:hAnsi="Arial"/>
          <w:sz w:val="20"/>
        </w:rPr>
        <w:t xml:space="preserve"> </w:t>
      </w:r>
    </w:p>
    <w:p w:rsidR="00BD51A1" w:rsidRPr="00122551" w:rsidRDefault="00BD51A1" w:rsidP="00BD51A1">
      <w:pPr>
        <w:pStyle w:val="NoSpacing"/>
        <w:jc w:val="both"/>
        <w:rPr>
          <w:rFonts w:ascii="Arial" w:hAnsi="Arial" w:cs="Arial"/>
          <w:sz w:val="20"/>
          <w:szCs w:val="20"/>
        </w:rPr>
      </w:pPr>
    </w:p>
    <w:p w:rsidR="00BD51A1" w:rsidRPr="00A866E4" w:rsidRDefault="00BD51A1" w:rsidP="00BD51A1">
      <w:pPr>
        <w:pStyle w:val="NoSpacing"/>
        <w:ind w:firstLine="708"/>
        <w:jc w:val="both"/>
        <w:rPr>
          <w:rFonts w:ascii="Arial" w:hAnsi="Arial" w:cs="Arial"/>
          <w:b/>
          <w:sz w:val="20"/>
          <w:szCs w:val="20"/>
        </w:rPr>
      </w:pPr>
      <w:r w:rsidRPr="00A866E4">
        <w:rPr>
          <w:rFonts w:ascii="Arial" w:hAnsi="Arial" w:cs="Arial"/>
          <w:b/>
          <w:sz w:val="20"/>
          <w:szCs w:val="20"/>
        </w:rPr>
        <w:t>6. Основните плащания и обосновка на годишната схема за изплащане на бонуси и/или на всички други непарични допълнителни възнаграждения</w:t>
      </w:r>
    </w:p>
    <w:p w:rsidR="00BD51A1" w:rsidRPr="00A866E4" w:rsidRDefault="00BD51A1" w:rsidP="00BD51A1">
      <w:pPr>
        <w:pStyle w:val="NoSpacing"/>
        <w:ind w:firstLine="708"/>
        <w:jc w:val="both"/>
        <w:rPr>
          <w:rFonts w:ascii="Arial" w:hAnsi="Arial" w:cs="Arial"/>
          <w:sz w:val="20"/>
          <w:szCs w:val="20"/>
        </w:rPr>
      </w:pPr>
    </w:p>
    <w:p w:rsidR="00BD51A1" w:rsidRPr="00A866E4" w:rsidRDefault="00BD51A1" w:rsidP="00BD51A1">
      <w:pPr>
        <w:pStyle w:val="NoSpacing"/>
        <w:ind w:firstLine="708"/>
        <w:jc w:val="both"/>
        <w:rPr>
          <w:rFonts w:ascii="Arial" w:hAnsi="Arial" w:cs="Arial"/>
          <w:sz w:val="20"/>
          <w:szCs w:val="20"/>
        </w:rPr>
      </w:pPr>
      <w:r w:rsidRPr="00A866E4">
        <w:rPr>
          <w:rFonts w:ascii="Arial" w:hAnsi="Arial" w:cs="Arial"/>
          <w:sz w:val="20"/>
          <w:szCs w:val="20"/>
        </w:rPr>
        <w:t>През изтеклата финансова година (считано от месец март) са изплащани постоянни възнаграждения на членовете на Управителния съвет  в размер на 1 500 лв. месечно. На ръководството не са изплащани бонуси или други допълнителни възнаграждения.</w:t>
      </w:r>
    </w:p>
    <w:p w:rsidR="00BD51A1" w:rsidRPr="00A866E4"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A866E4">
        <w:rPr>
          <w:rFonts w:ascii="Arial" w:hAnsi="Arial" w:cs="Arial"/>
          <w:b/>
          <w:sz w:val="20"/>
          <w:szCs w:val="20"/>
        </w:rPr>
        <w:t>7. Описание на основните характеристики на схемата за допълнително доброволно пенсионно осигуряване и информация</w:t>
      </w:r>
      <w:r w:rsidRPr="00122551">
        <w:rPr>
          <w:rFonts w:ascii="Arial" w:hAnsi="Arial" w:cs="Arial"/>
          <w:b/>
          <w:sz w:val="20"/>
          <w:szCs w:val="20"/>
        </w:rPr>
        <w:t xml:space="preserve"> относно платените и/или дължимите вноски от дружеството в полза на съответния член на управителния или контролен орган на дружеството за съответната финансова година</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 xml:space="preserve">През изтеклата финансова година дружеството не е заплащало за своя сметка вноски за </w:t>
      </w:r>
      <w:r w:rsidRPr="00122551">
        <w:rPr>
          <w:rFonts w:ascii="Arial" w:hAnsi="Arial" w:cs="Arial"/>
          <w:sz w:val="20"/>
          <w:szCs w:val="20"/>
        </w:rPr>
        <w:lastRenderedPageBreak/>
        <w:t>допълнително доброволно пенсионно осигуряване на членове на Управителния и Надзорен съвети.</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8. Информация за периодите на отлагане на изплащането на променливите възнаграждения</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През отчетната финансова година Дружеството не е предвиждало отлагане изплащане на променливо възнаграждение.</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9. Информация за политиката на обезщетенията при прекратяване на договорите</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Политиката на обезщетения при прекратяване на участие в състава на съветите е съгласно уговореното в договорите за управление и контрол на всеки един от членовете на съветите.</w:t>
      </w:r>
    </w:p>
    <w:p w:rsidR="00BD51A1" w:rsidRPr="00122551" w:rsidRDefault="00BD51A1" w:rsidP="00BD51A1">
      <w:pPr>
        <w:autoSpaceDE w:val="0"/>
        <w:autoSpaceDN w:val="0"/>
        <w:adjustRightInd w:val="0"/>
        <w:ind w:firstLine="708"/>
        <w:jc w:val="both"/>
        <w:rPr>
          <w:rFonts w:ascii="Arial" w:hAnsi="Arial"/>
          <w:sz w:val="20"/>
        </w:rPr>
      </w:pPr>
      <w:r w:rsidRPr="00122551">
        <w:rPr>
          <w:rFonts w:ascii="Arial" w:hAnsi="Arial"/>
          <w:sz w:val="20"/>
        </w:rPr>
        <w:t>През отчетната финансова година не е бил прекратяван договор с член на Надзорния или Управителния съвет</w:t>
      </w:r>
      <w:r>
        <w:rPr>
          <w:rFonts w:ascii="Arial" w:hAnsi="Arial"/>
          <w:sz w:val="20"/>
        </w:rPr>
        <w:t>и</w:t>
      </w:r>
      <w:r w:rsidRPr="00122551">
        <w:rPr>
          <w:rFonts w:ascii="Arial" w:hAnsi="Arial"/>
          <w:sz w:val="20"/>
        </w:rPr>
        <w:t xml:space="preserve"> на Дружеството.</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10. Информация за периода, в който акциите не могат да бъдат прехвърляни и опциите върху акции не могат да бъдат упражнявани, при променливи възнаграждения основани на акции</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Съгласно действащата Политика за възнагражденията на членовете на Надзорния и Управителния съвет</w:t>
      </w:r>
      <w:r>
        <w:rPr>
          <w:rFonts w:ascii="Arial" w:hAnsi="Arial" w:cs="Arial"/>
          <w:sz w:val="20"/>
          <w:szCs w:val="20"/>
        </w:rPr>
        <w:t>и</w:t>
      </w:r>
      <w:r w:rsidRPr="00122551">
        <w:rPr>
          <w:rFonts w:ascii="Arial" w:hAnsi="Arial" w:cs="Arial"/>
          <w:sz w:val="20"/>
          <w:szCs w:val="20"/>
        </w:rPr>
        <w:t xml:space="preserve"> на „Зърнени храни България” АД, в случай, че на членовете на съветите е изплатено променливо възнаграждение под формата на акции или опции върху акции, то решение относно периода, в който акции не могат да бъдат прехвърляни и опции върху тях да бъдат упражнявани, се взема от компетентния орган в дружеството.</w:t>
      </w:r>
    </w:p>
    <w:p w:rsidR="00BD51A1" w:rsidRPr="0012255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11. Информация за политиката за запазване на определен брой акции до края на мандата на членовете на управителните и контролни органи след изтичане на периода по т. 10</w:t>
      </w:r>
    </w:p>
    <w:p w:rsidR="00BD51A1" w:rsidRPr="0012255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В действащата Политика за възнагражденията на членовете на Надзорния и Управителния съвет на „Зърнени храни България” АД няма разпоредби регламентиращи такава политика, тъй като не е предвидено такъв вид възнаграждение.</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12. Информация, относно договорите на членовете на управителните и контролни органи, включително срока на всеки договор, срока на предизвестието за прекратяване и детайли относно обезщетенията и/или други дължими плащания в случай на предсрочно прекратяване</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 xml:space="preserve">Договорите на членовете на Управителния и Надзорен съвети на „Зърнени храни България” АД са сключени за неопределен срок, действието на които може да се прекрати по всяко време – с решение на Надзорния съвет, съответно на Общото събрание на акционерите. </w:t>
      </w:r>
    </w:p>
    <w:p w:rsidR="00BD51A1" w:rsidRPr="00BD51A1" w:rsidRDefault="00BD51A1" w:rsidP="00BD51A1">
      <w:pPr>
        <w:pStyle w:val="NoSpacing"/>
        <w:ind w:firstLine="720"/>
        <w:jc w:val="both"/>
        <w:rPr>
          <w:rStyle w:val="a"/>
          <w:rFonts w:ascii="Arial" w:eastAsia="Courier New" w:hAnsi="Arial" w:cs="Arial"/>
          <w:sz w:val="20"/>
          <w:szCs w:val="20"/>
          <w:lang w:val="bg-BG"/>
        </w:rPr>
      </w:pPr>
      <w:r w:rsidRPr="00BD51A1">
        <w:rPr>
          <w:rStyle w:val="a"/>
          <w:rFonts w:ascii="Arial" w:eastAsia="Courier New" w:hAnsi="Arial" w:cs="Arial"/>
          <w:sz w:val="20"/>
          <w:szCs w:val="20"/>
          <w:lang w:val="bg-BG"/>
        </w:rPr>
        <w:t xml:space="preserve">Условията и максималният размер на обезщетенията при прекратяване на договор с член на Управителния съвет на Дружеството, съответно с изпълнителните директори, във връзка с предсрочно прекратяване на договора, както и плащания, свързани със срок на предизвестието или предвидени в клаузата, забраняваща извършването на конкурентна дейност се уреждат с политиката за възнагражденията на </w:t>
      </w:r>
      <w:r w:rsidRPr="00122551">
        <w:rPr>
          <w:rFonts w:ascii="Arial" w:hAnsi="Arial" w:cs="Arial"/>
          <w:sz w:val="20"/>
          <w:szCs w:val="20"/>
        </w:rPr>
        <w:t>„Зърнени храни България” АД</w:t>
      </w:r>
      <w:r w:rsidRPr="00BD51A1">
        <w:rPr>
          <w:rStyle w:val="a"/>
          <w:rFonts w:ascii="Arial" w:eastAsia="Courier New" w:hAnsi="Arial" w:cs="Arial"/>
          <w:sz w:val="20"/>
          <w:szCs w:val="20"/>
          <w:lang w:val="bg-BG"/>
        </w:rPr>
        <w:t xml:space="preserve">. </w:t>
      </w:r>
    </w:p>
    <w:p w:rsidR="00BD51A1" w:rsidRPr="00122551" w:rsidRDefault="00BD51A1" w:rsidP="00BD51A1">
      <w:pPr>
        <w:pStyle w:val="NoSpacing"/>
        <w:ind w:firstLine="720"/>
        <w:jc w:val="both"/>
        <w:rPr>
          <w:rFonts w:ascii="Arial" w:hAnsi="Arial" w:cs="Arial"/>
          <w:sz w:val="20"/>
          <w:szCs w:val="20"/>
        </w:rPr>
      </w:pPr>
      <w:r w:rsidRPr="00BD51A1">
        <w:rPr>
          <w:rStyle w:val="a"/>
          <w:rFonts w:ascii="Arial" w:eastAsia="Courier New" w:hAnsi="Arial" w:cs="Arial"/>
          <w:sz w:val="20"/>
          <w:szCs w:val="20"/>
          <w:lang w:val="bg-BG"/>
        </w:rPr>
        <w:t xml:space="preserve">Към настоящия момент </w:t>
      </w:r>
      <w:r w:rsidRPr="00122551">
        <w:rPr>
          <w:rFonts w:ascii="Arial" w:hAnsi="Arial" w:cs="Arial"/>
          <w:sz w:val="20"/>
          <w:szCs w:val="20"/>
        </w:rPr>
        <w:t>„Зърнени храни България” АД</w:t>
      </w:r>
      <w:r w:rsidRPr="00BD51A1">
        <w:rPr>
          <w:rStyle w:val="a"/>
          <w:rFonts w:ascii="Arial" w:eastAsia="Courier New" w:hAnsi="Arial" w:cs="Arial"/>
          <w:sz w:val="20"/>
          <w:szCs w:val="20"/>
          <w:lang w:val="bg-BG"/>
        </w:rPr>
        <w:t xml:space="preserve"> не е предвидило плащания на обезщетения при предсрочно прекратяване на договор с член на Управителния съвет на дружеството, съответно с Изпълнителните директори на дружеството, както и плащания, във връзка със срок на предизвестие или плащания във връзка с клаузи, забраняващи извършването на конкурентна дейност.</w:t>
      </w:r>
      <w:r w:rsidRPr="00122551">
        <w:rPr>
          <w:rFonts w:ascii="Arial" w:hAnsi="Arial" w:cs="Arial"/>
          <w:sz w:val="20"/>
          <w:szCs w:val="20"/>
        </w:rPr>
        <w:t xml:space="preserve"> </w:t>
      </w:r>
      <w:r w:rsidRPr="00BD51A1">
        <w:rPr>
          <w:rStyle w:val="a"/>
          <w:rFonts w:ascii="Arial" w:eastAsia="Courier New" w:hAnsi="Arial" w:cs="Arial"/>
          <w:sz w:val="20"/>
          <w:szCs w:val="20"/>
          <w:lang w:val="bg-BG"/>
        </w:rPr>
        <w:t>Обезщетение не се дължи, в случай че прекратяването на договора се дължи на незадоволителни резултати и/или виновно поведение на члена на Управителния съвет на дружеството, съответно на изпълнителните директори.</w:t>
      </w:r>
    </w:p>
    <w:p w:rsidR="00BD51A1" w:rsidRDefault="00BD51A1" w:rsidP="00BD51A1">
      <w:pPr>
        <w:rPr>
          <w:rFonts w:ascii="Arial" w:eastAsia="Courier New" w:hAnsi="Arial"/>
          <w:color w:val="000000"/>
          <w:sz w:val="20"/>
          <w:u w:val="single"/>
          <w:lang w:eastAsia="bg-BG" w:bidi="bg-BG"/>
        </w:rPr>
      </w:pPr>
      <w:r>
        <w:rPr>
          <w:rFonts w:ascii="Arial" w:hAnsi="Arial"/>
          <w:sz w:val="20"/>
          <w:u w:val="single"/>
        </w:rPr>
        <w:br w:type="page"/>
      </w: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lastRenderedPageBreak/>
        <w:t>13. Пълният размер на възнаграждението и на другите материални стимули на членовете на управителните и контролни органи за съответната финансова година</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EA2FA0">
        <w:rPr>
          <w:rFonts w:ascii="Arial" w:hAnsi="Arial" w:cs="Arial"/>
          <w:sz w:val="20"/>
          <w:szCs w:val="20"/>
        </w:rPr>
        <w:t>През отчетната финансова година членовете на Управителния съвет на „Зърнени храни България” АД са получили възнаграждения</w:t>
      </w:r>
      <w:r>
        <w:rPr>
          <w:rFonts w:ascii="Arial" w:hAnsi="Arial" w:cs="Arial"/>
          <w:sz w:val="20"/>
          <w:szCs w:val="20"/>
        </w:rPr>
        <w:t xml:space="preserve"> от Дружеството</w:t>
      </w:r>
      <w:r w:rsidRPr="00EA2FA0">
        <w:rPr>
          <w:rFonts w:ascii="Arial" w:hAnsi="Arial" w:cs="Arial"/>
          <w:sz w:val="20"/>
          <w:szCs w:val="20"/>
        </w:rPr>
        <w:t xml:space="preserve"> в </w:t>
      </w:r>
      <w:r w:rsidRPr="00D06BE1">
        <w:rPr>
          <w:rFonts w:ascii="Arial" w:hAnsi="Arial" w:cs="Arial"/>
          <w:sz w:val="20"/>
          <w:szCs w:val="20"/>
        </w:rPr>
        <w:t>размер на 75 хил. лв</w:t>
      </w:r>
      <w:r w:rsidRPr="00EA2FA0">
        <w:rPr>
          <w:rFonts w:ascii="Arial" w:hAnsi="Arial" w:cs="Arial"/>
          <w:sz w:val="20"/>
          <w:szCs w:val="20"/>
        </w:rPr>
        <w:t>.</w:t>
      </w: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През отчетната финансова година членовете на Надзорния съвет на „Зърнени храни България” АД не са получавали възнаграждения.</w:t>
      </w:r>
    </w:p>
    <w:p w:rsidR="00BD51A1" w:rsidRPr="0012255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14. Информация за възнаграждението на всяко лице, което е било член на управителен или контролен орган в публичното дружество за определен период през съответната финансова година:</w:t>
      </w:r>
    </w:p>
    <w:p w:rsidR="00BD51A1" w:rsidRPr="00122551" w:rsidRDefault="00BD51A1" w:rsidP="00BD51A1">
      <w:pPr>
        <w:pStyle w:val="30"/>
        <w:shd w:val="clear" w:color="auto" w:fill="auto"/>
        <w:ind w:left="20" w:right="20" w:firstLine="500"/>
        <w:rPr>
          <w:rFonts w:ascii="Arial" w:hAnsi="Arial" w:cs="Arial"/>
          <w:sz w:val="20"/>
          <w:szCs w:val="20"/>
          <w:lang w:val="bg-BG"/>
        </w:rPr>
      </w:pPr>
    </w:p>
    <w:p w:rsidR="00BD51A1" w:rsidRPr="00122551"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а) пълният размер на изплатеното и/или начислено възнаграждение на лицето за съответната финансова година</w:t>
      </w:r>
      <w:r>
        <w:rPr>
          <w:rFonts w:ascii="Arial" w:hAnsi="Arial" w:cs="Arial"/>
          <w:i w:val="0"/>
          <w:sz w:val="20"/>
          <w:szCs w:val="20"/>
          <w:lang w:val="bg-BG"/>
        </w:rPr>
        <w:t>:</w:t>
      </w:r>
    </w:p>
    <w:p w:rsidR="00BD51A1" w:rsidRPr="00122551" w:rsidRDefault="00BD51A1" w:rsidP="00BD51A1">
      <w:pPr>
        <w:ind w:left="20" w:right="20" w:firstLine="500"/>
        <w:jc w:val="both"/>
        <w:rPr>
          <w:rFonts w:ascii="Arial" w:hAnsi="Arial"/>
          <w:i/>
          <w:sz w:val="20"/>
        </w:rPr>
      </w:pPr>
    </w:p>
    <w:p w:rsidR="00BD51A1" w:rsidRPr="00122551" w:rsidRDefault="00BD51A1" w:rsidP="00BD51A1">
      <w:pPr>
        <w:ind w:left="20" w:right="20" w:firstLine="500"/>
        <w:jc w:val="both"/>
        <w:rPr>
          <w:rFonts w:ascii="Arial" w:hAnsi="Arial"/>
          <w:sz w:val="20"/>
        </w:rPr>
      </w:pPr>
      <w:r w:rsidRPr="00122551">
        <w:rPr>
          <w:rFonts w:ascii="Arial" w:hAnsi="Arial"/>
          <w:sz w:val="20"/>
        </w:rPr>
        <w:t>Надзорен съвет:</w:t>
      </w:r>
    </w:p>
    <w:p w:rsidR="00BD51A1" w:rsidRPr="00122551" w:rsidRDefault="00BD51A1" w:rsidP="00BD51A1">
      <w:pPr>
        <w:ind w:left="20" w:right="20" w:firstLine="500"/>
        <w:jc w:val="both"/>
        <w:rPr>
          <w:rFonts w:ascii="Arial" w:hAnsi="Arial"/>
          <w:sz w:val="20"/>
        </w:rPr>
      </w:pPr>
      <w:r w:rsidRPr="00122551">
        <w:rPr>
          <w:rFonts w:ascii="Arial" w:hAnsi="Arial"/>
          <w:sz w:val="20"/>
        </w:rPr>
        <w:t>„Химимпорт” АД – 0 лв.;</w:t>
      </w:r>
    </w:p>
    <w:p w:rsidR="00BD51A1" w:rsidRPr="00122551" w:rsidRDefault="00BD51A1" w:rsidP="00BD51A1">
      <w:pPr>
        <w:ind w:left="20" w:right="20" w:firstLine="500"/>
        <w:jc w:val="both"/>
        <w:rPr>
          <w:rFonts w:ascii="Arial" w:hAnsi="Arial"/>
          <w:sz w:val="20"/>
        </w:rPr>
      </w:pPr>
      <w:r w:rsidRPr="00122551">
        <w:rPr>
          <w:rFonts w:ascii="Arial" w:hAnsi="Arial"/>
          <w:sz w:val="20"/>
        </w:rPr>
        <w:t>„ЦКБ Груп” ЕАД – 0 лв.</w:t>
      </w:r>
    </w:p>
    <w:p w:rsidR="00BD51A1" w:rsidRPr="00122551" w:rsidRDefault="00BD51A1" w:rsidP="00BD51A1">
      <w:pPr>
        <w:ind w:left="20" w:right="20" w:firstLine="500"/>
        <w:jc w:val="both"/>
        <w:rPr>
          <w:rFonts w:ascii="Arial" w:hAnsi="Arial"/>
          <w:sz w:val="20"/>
        </w:rPr>
      </w:pPr>
      <w:r w:rsidRPr="00122551">
        <w:rPr>
          <w:rFonts w:ascii="Arial" w:hAnsi="Arial"/>
          <w:sz w:val="20"/>
        </w:rPr>
        <w:t xml:space="preserve">Северина </w:t>
      </w:r>
      <w:proofErr w:type="spellStart"/>
      <w:r w:rsidRPr="00122551">
        <w:rPr>
          <w:rFonts w:ascii="Arial" w:hAnsi="Arial"/>
          <w:sz w:val="20"/>
        </w:rPr>
        <w:t>Жилева</w:t>
      </w:r>
      <w:proofErr w:type="spellEnd"/>
      <w:r w:rsidRPr="00122551">
        <w:rPr>
          <w:rFonts w:ascii="Arial" w:hAnsi="Arial"/>
          <w:sz w:val="20"/>
        </w:rPr>
        <w:t xml:space="preserve"> – 0 лв.;</w:t>
      </w:r>
    </w:p>
    <w:p w:rsidR="00BD51A1" w:rsidRPr="00122551" w:rsidRDefault="00BD51A1" w:rsidP="00BD51A1">
      <w:pPr>
        <w:ind w:left="20" w:right="20" w:firstLine="500"/>
        <w:jc w:val="both"/>
        <w:rPr>
          <w:rFonts w:ascii="Arial" w:hAnsi="Arial"/>
          <w:sz w:val="20"/>
        </w:rPr>
      </w:pPr>
    </w:p>
    <w:p w:rsidR="00BD51A1" w:rsidRPr="00122551" w:rsidRDefault="00BD51A1" w:rsidP="00BD51A1">
      <w:pPr>
        <w:ind w:left="20" w:right="20" w:firstLine="500"/>
        <w:jc w:val="both"/>
        <w:rPr>
          <w:rFonts w:ascii="Arial" w:hAnsi="Arial"/>
          <w:sz w:val="20"/>
        </w:rPr>
      </w:pPr>
      <w:r w:rsidRPr="00122551">
        <w:rPr>
          <w:rFonts w:ascii="Arial" w:hAnsi="Arial"/>
          <w:sz w:val="20"/>
        </w:rPr>
        <w:t>Управителен съвет:</w:t>
      </w:r>
    </w:p>
    <w:p w:rsidR="00BD51A1" w:rsidRPr="00122551" w:rsidRDefault="00BD51A1" w:rsidP="00BD51A1">
      <w:pPr>
        <w:ind w:left="20" w:right="20" w:firstLine="500"/>
        <w:jc w:val="both"/>
        <w:rPr>
          <w:rFonts w:ascii="Arial" w:hAnsi="Arial"/>
          <w:sz w:val="20"/>
        </w:rPr>
      </w:pPr>
      <w:r w:rsidRPr="00122551">
        <w:rPr>
          <w:rFonts w:ascii="Arial" w:hAnsi="Arial"/>
          <w:sz w:val="20"/>
        </w:rPr>
        <w:t xml:space="preserve">Любомир </w:t>
      </w:r>
      <w:r w:rsidRPr="00D06BE1">
        <w:rPr>
          <w:rFonts w:ascii="Arial" w:hAnsi="Arial"/>
          <w:sz w:val="20"/>
        </w:rPr>
        <w:t>Чакъров – 15 000</w:t>
      </w:r>
      <w:r w:rsidRPr="00122551">
        <w:rPr>
          <w:rFonts w:ascii="Arial" w:hAnsi="Arial"/>
          <w:sz w:val="20"/>
        </w:rPr>
        <w:t xml:space="preserve"> лв.; </w:t>
      </w:r>
    </w:p>
    <w:p w:rsidR="00BD51A1" w:rsidRPr="00122551" w:rsidRDefault="00BD51A1" w:rsidP="00BD51A1">
      <w:pPr>
        <w:ind w:left="20" w:right="20" w:firstLine="500"/>
        <w:jc w:val="both"/>
        <w:rPr>
          <w:rFonts w:ascii="Arial" w:hAnsi="Arial"/>
          <w:sz w:val="20"/>
        </w:rPr>
      </w:pPr>
      <w:r w:rsidRPr="00122551">
        <w:rPr>
          <w:rFonts w:ascii="Arial" w:hAnsi="Arial"/>
          <w:sz w:val="20"/>
        </w:rPr>
        <w:t xml:space="preserve">Александър </w:t>
      </w:r>
      <w:proofErr w:type="spellStart"/>
      <w:r w:rsidRPr="00122551">
        <w:rPr>
          <w:rFonts w:ascii="Arial" w:hAnsi="Arial"/>
          <w:sz w:val="20"/>
        </w:rPr>
        <w:t>Керезов</w:t>
      </w:r>
      <w:proofErr w:type="spellEnd"/>
      <w:r w:rsidRPr="00122551">
        <w:rPr>
          <w:rFonts w:ascii="Arial" w:hAnsi="Arial"/>
          <w:sz w:val="20"/>
        </w:rPr>
        <w:t xml:space="preserve"> – </w:t>
      </w:r>
      <w:r w:rsidRPr="00D06BE1">
        <w:rPr>
          <w:rFonts w:ascii="Arial" w:hAnsi="Arial"/>
          <w:sz w:val="20"/>
        </w:rPr>
        <w:t>15 000</w:t>
      </w:r>
      <w:r w:rsidRPr="00122551">
        <w:rPr>
          <w:rFonts w:ascii="Arial" w:hAnsi="Arial"/>
          <w:sz w:val="20"/>
        </w:rPr>
        <w:t xml:space="preserve"> лв.;</w:t>
      </w:r>
    </w:p>
    <w:p w:rsidR="00BD51A1" w:rsidRPr="00122551" w:rsidRDefault="00BD51A1" w:rsidP="00BD51A1">
      <w:pPr>
        <w:ind w:left="20" w:right="20" w:firstLine="500"/>
        <w:jc w:val="both"/>
        <w:rPr>
          <w:rFonts w:ascii="Arial" w:hAnsi="Arial"/>
          <w:sz w:val="20"/>
        </w:rPr>
      </w:pPr>
      <w:r w:rsidRPr="00122551">
        <w:rPr>
          <w:rFonts w:ascii="Arial" w:hAnsi="Arial"/>
          <w:sz w:val="20"/>
        </w:rPr>
        <w:t xml:space="preserve">Миролюб Иванов – </w:t>
      </w:r>
      <w:r w:rsidRPr="00D06BE1">
        <w:rPr>
          <w:rFonts w:ascii="Arial" w:hAnsi="Arial"/>
          <w:sz w:val="20"/>
        </w:rPr>
        <w:t>15 000</w:t>
      </w:r>
      <w:r w:rsidRPr="00122551">
        <w:rPr>
          <w:rFonts w:ascii="Arial" w:hAnsi="Arial"/>
          <w:sz w:val="20"/>
        </w:rPr>
        <w:t xml:space="preserve"> лв.;</w:t>
      </w:r>
    </w:p>
    <w:p w:rsidR="00BD51A1" w:rsidRPr="00122551" w:rsidRDefault="00BD51A1" w:rsidP="00BD51A1">
      <w:pPr>
        <w:ind w:left="20" w:right="20" w:firstLine="500"/>
        <w:jc w:val="both"/>
        <w:rPr>
          <w:rFonts w:ascii="Arial" w:hAnsi="Arial"/>
          <w:sz w:val="20"/>
        </w:rPr>
      </w:pPr>
      <w:r w:rsidRPr="00122551">
        <w:rPr>
          <w:rFonts w:ascii="Arial" w:hAnsi="Arial"/>
          <w:sz w:val="20"/>
        </w:rPr>
        <w:t xml:space="preserve">Никола Мишев – </w:t>
      </w:r>
      <w:r w:rsidRPr="00D06BE1">
        <w:rPr>
          <w:rFonts w:ascii="Arial" w:hAnsi="Arial"/>
          <w:sz w:val="20"/>
        </w:rPr>
        <w:t>15 000</w:t>
      </w:r>
      <w:r w:rsidRPr="00122551">
        <w:rPr>
          <w:rFonts w:ascii="Arial" w:hAnsi="Arial"/>
          <w:sz w:val="20"/>
        </w:rPr>
        <w:t xml:space="preserve"> лв.</w:t>
      </w:r>
    </w:p>
    <w:p w:rsidR="00BD51A1" w:rsidRPr="00122551" w:rsidRDefault="00BD51A1" w:rsidP="00BD51A1">
      <w:pPr>
        <w:ind w:left="20" w:right="20" w:firstLine="500"/>
        <w:jc w:val="both"/>
        <w:rPr>
          <w:rFonts w:ascii="Arial" w:hAnsi="Arial"/>
          <w:sz w:val="20"/>
        </w:rPr>
      </w:pPr>
      <w:r w:rsidRPr="00122551">
        <w:rPr>
          <w:rFonts w:ascii="Arial" w:hAnsi="Arial"/>
          <w:sz w:val="20"/>
        </w:rPr>
        <w:t xml:space="preserve">Йордан Йорданов – </w:t>
      </w:r>
      <w:r w:rsidRPr="00D06BE1">
        <w:rPr>
          <w:rFonts w:ascii="Arial" w:hAnsi="Arial"/>
          <w:sz w:val="20"/>
        </w:rPr>
        <w:t>15 000</w:t>
      </w:r>
      <w:r w:rsidRPr="00122551">
        <w:rPr>
          <w:rFonts w:ascii="Arial" w:hAnsi="Arial"/>
          <w:sz w:val="20"/>
        </w:rPr>
        <w:t xml:space="preserve"> лв.</w:t>
      </w:r>
    </w:p>
    <w:p w:rsidR="00BD51A1" w:rsidRPr="00122551" w:rsidRDefault="00BD51A1" w:rsidP="00BD51A1">
      <w:pPr>
        <w:pStyle w:val="30"/>
        <w:shd w:val="clear" w:color="auto" w:fill="auto"/>
        <w:ind w:left="20" w:right="20" w:firstLine="500"/>
        <w:rPr>
          <w:rFonts w:ascii="Arial" w:hAnsi="Arial" w:cs="Arial"/>
          <w:sz w:val="20"/>
          <w:szCs w:val="20"/>
          <w:lang w:val="bg-BG"/>
        </w:rPr>
      </w:pPr>
    </w:p>
    <w:p w:rsidR="00BD51A1" w:rsidRPr="00122551"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б) възнаграждението и други материални и нематериални стимули</w:t>
      </w:r>
      <w:r w:rsidRPr="00122551">
        <w:rPr>
          <w:rStyle w:val="31"/>
          <w:rFonts w:ascii="Arial" w:eastAsiaTheme="minorHAnsi" w:hAnsi="Arial" w:cs="Arial"/>
          <w:sz w:val="20"/>
          <w:szCs w:val="20"/>
        </w:rPr>
        <w:t xml:space="preserve">, </w:t>
      </w:r>
      <w:r w:rsidRPr="00122551">
        <w:rPr>
          <w:rFonts w:ascii="Arial" w:hAnsi="Arial" w:cs="Arial"/>
          <w:i w:val="0"/>
          <w:sz w:val="20"/>
          <w:szCs w:val="20"/>
          <w:lang w:val="bg-BG"/>
        </w:rPr>
        <w:t>получени от лицето от дружества от същата група</w:t>
      </w:r>
      <w:r>
        <w:rPr>
          <w:rFonts w:ascii="Arial" w:hAnsi="Arial" w:cs="Arial"/>
          <w:i w:val="0"/>
          <w:sz w:val="20"/>
          <w:szCs w:val="20"/>
          <w:lang w:val="bg-BG"/>
        </w:rPr>
        <w:t>:</w:t>
      </w:r>
    </w:p>
    <w:p w:rsidR="00BD51A1" w:rsidRPr="00122551" w:rsidRDefault="00BD51A1" w:rsidP="00BD51A1">
      <w:pPr>
        <w:ind w:left="20" w:firstLine="500"/>
        <w:jc w:val="both"/>
        <w:rPr>
          <w:rFonts w:ascii="Arial" w:hAnsi="Arial"/>
          <w:sz w:val="20"/>
        </w:rPr>
      </w:pPr>
    </w:p>
    <w:tbl>
      <w:tblPr>
        <w:tblW w:w="4764" w:type="pct"/>
        <w:tblInd w:w="426" w:type="dxa"/>
        <w:tblLook w:val="04A0" w:firstRow="1" w:lastRow="0" w:firstColumn="1" w:lastColumn="0" w:noHBand="0" w:noVBand="1"/>
      </w:tblPr>
      <w:tblGrid>
        <w:gridCol w:w="7014"/>
        <w:gridCol w:w="1948"/>
      </w:tblGrid>
      <w:tr w:rsidR="00BD51A1" w:rsidRPr="00122551" w:rsidTr="00177569">
        <w:trPr>
          <w:trHeight w:val="131"/>
        </w:trPr>
        <w:tc>
          <w:tcPr>
            <w:tcW w:w="3913" w:type="pct"/>
            <w:vAlign w:val="bottom"/>
            <w:hideMark/>
          </w:tcPr>
          <w:p w:rsidR="00BD51A1" w:rsidRPr="00122551" w:rsidRDefault="00BD51A1" w:rsidP="00177569">
            <w:pPr>
              <w:rPr>
                <w:rFonts w:ascii="Arial" w:hAnsi="Arial"/>
                <w:b/>
                <w:color w:val="000000"/>
                <w:sz w:val="20"/>
              </w:rPr>
            </w:pPr>
            <w:r w:rsidRPr="00122551">
              <w:rPr>
                <w:rFonts w:ascii="Arial" w:hAnsi="Arial"/>
                <w:b/>
                <w:color w:val="000000"/>
                <w:sz w:val="20"/>
              </w:rPr>
              <w:t>Име</w:t>
            </w:r>
          </w:p>
        </w:tc>
        <w:tc>
          <w:tcPr>
            <w:tcW w:w="1087" w:type="pct"/>
            <w:vAlign w:val="bottom"/>
            <w:hideMark/>
          </w:tcPr>
          <w:p w:rsidR="00BD51A1" w:rsidRPr="00122551" w:rsidRDefault="00BD51A1" w:rsidP="00177569">
            <w:pPr>
              <w:jc w:val="right"/>
              <w:rPr>
                <w:rFonts w:ascii="Arial" w:hAnsi="Arial"/>
                <w:b/>
                <w:color w:val="000000"/>
                <w:sz w:val="20"/>
              </w:rPr>
            </w:pPr>
            <w:r w:rsidRPr="00122551">
              <w:rPr>
                <w:rFonts w:ascii="Arial" w:hAnsi="Arial"/>
                <w:b/>
                <w:color w:val="000000"/>
                <w:sz w:val="20"/>
              </w:rPr>
              <w:t>Сума</w:t>
            </w:r>
          </w:p>
        </w:tc>
      </w:tr>
      <w:tr w:rsidR="00BD51A1" w:rsidRPr="00122551" w:rsidTr="00177569">
        <w:trPr>
          <w:trHeight w:val="131"/>
        </w:trPr>
        <w:tc>
          <w:tcPr>
            <w:tcW w:w="3913" w:type="pct"/>
            <w:vAlign w:val="bottom"/>
          </w:tcPr>
          <w:p w:rsidR="00BD51A1" w:rsidRPr="00122551" w:rsidRDefault="00BD51A1" w:rsidP="00177569">
            <w:pPr>
              <w:rPr>
                <w:rFonts w:ascii="Arial" w:hAnsi="Arial"/>
                <w:b/>
                <w:color w:val="000000"/>
                <w:sz w:val="20"/>
              </w:rPr>
            </w:pPr>
          </w:p>
        </w:tc>
        <w:tc>
          <w:tcPr>
            <w:tcW w:w="1087" w:type="pct"/>
            <w:vAlign w:val="bottom"/>
          </w:tcPr>
          <w:p w:rsidR="00BD51A1" w:rsidRPr="00122551" w:rsidRDefault="00BD51A1" w:rsidP="00177569">
            <w:pPr>
              <w:rPr>
                <w:rFonts w:ascii="Arial" w:hAnsi="Arial"/>
                <w:b/>
                <w:color w:val="000000"/>
                <w:sz w:val="20"/>
              </w:rPr>
            </w:pPr>
          </w:p>
        </w:tc>
      </w:tr>
      <w:tr w:rsidR="00BD51A1" w:rsidRPr="00122551" w:rsidTr="00177569">
        <w:tc>
          <w:tcPr>
            <w:tcW w:w="3913" w:type="pct"/>
            <w:hideMark/>
          </w:tcPr>
          <w:p w:rsidR="00BD51A1" w:rsidRPr="00122551" w:rsidRDefault="00BD51A1" w:rsidP="00177569">
            <w:pPr>
              <w:rPr>
                <w:rFonts w:ascii="Arial" w:hAnsi="Arial"/>
                <w:color w:val="000000"/>
                <w:sz w:val="20"/>
              </w:rPr>
            </w:pPr>
            <w:r w:rsidRPr="00122551">
              <w:rPr>
                <w:rFonts w:ascii="Arial" w:hAnsi="Arial"/>
                <w:color w:val="000000"/>
                <w:sz w:val="20"/>
              </w:rPr>
              <w:t>Любомир Тодоров Чакъров</w:t>
            </w:r>
          </w:p>
        </w:tc>
        <w:tc>
          <w:tcPr>
            <w:tcW w:w="1087" w:type="pct"/>
            <w:hideMark/>
          </w:tcPr>
          <w:p w:rsidR="00BD51A1" w:rsidRPr="008E5722" w:rsidRDefault="00BD51A1" w:rsidP="00177569">
            <w:pPr>
              <w:jc w:val="right"/>
              <w:rPr>
                <w:rFonts w:ascii="Arial" w:hAnsi="Arial"/>
                <w:color w:val="000000"/>
                <w:sz w:val="20"/>
              </w:rPr>
            </w:pPr>
            <w:r w:rsidRPr="008E5722">
              <w:rPr>
                <w:rFonts w:ascii="Arial" w:hAnsi="Arial"/>
                <w:color w:val="000000"/>
                <w:sz w:val="20"/>
              </w:rPr>
              <w:t>141 хил. лв.</w:t>
            </w:r>
          </w:p>
        </w:tc>
      </w:tr>
      <w:tr w:rsidR="00BD51A1" w:rsidRPr="00122551" w:rsidTr="00177569">
        <w:tc>
          <w:tcPr>
            <w:tcW w:w="3913" w:type="pct"/>
            <w:hideMark/>
          </w:tcPr>
          <w:p w:rsidR="00BD51A1" w:rsidRPr="00122551" w:rsidRDefault="00BD51A1" w:rsidP="00177569">
            <w:pPr>
              <w:rPr>
                <w:rFonts w:ascii="Arial" w:hAnsi="Arial"/>
                <w:color w:val="000000"/>
                <w:sz w:val="20"/>
              </w:rPr>
            </w:pPr>
            <w:r w:rsidRPr="00122551">
              <w:rPr>
                <w:rFonts w:ascii="Arial" w:hAnsi="Arial"/>
                <w:color w:val="000000"/>
                <w:sz w:val="20"/>
              </w:rPr>
              <w:t>Йордан Стефанов Йорданов</w:t>
            </w:r>
          </w:p>
        </w:tc>
        <w:tc>
          <w:tcPr>
            <w:tcW w:w="1087" w:type="pct"/>
            <w:hideMark/>
          </w:tcPr>
          <w:p w:rsidR="00BD51A1" w:rsidRPr="008E5722" w:rsidRDefault="00BD51A1" w:rsidP="00177569">
            <w:pPr>
              <w:jc w:val="right"/>
              <w:rPr>
                <w:rFonts w:ascii="Arial" w:hAnsi="Arial"/>
                <w:color w:val="000000"/>
                <w:sz w:val="20"/>
              </w:rPr>
            </w:pPr>
            <w:r w:rsidRPr="008E5722">
              <w:rPr>
                <w:rFonts w:ascii="Arial" w:hAnsi="Arial"/>
                <w:color w:val="000000"/>
                <w:sz w:val="20"/>
              </w:rPr>
              <w:t>21 хил. лв.</w:t>
            </w:r>
          </w:p>
        </w:tc>
      </w:tr>
      <w:tr w:rsidR="00BD51A1" w:rsidRPr="00122551" w:rsidTr="00177569">
        <w:tc>
          <w:tcPr>
            <w:tcW w:w="3913" w:type="pct"/>
            <w:hideMark/>
          </w:tcPr>
          <w:p w:rsidR="00BD51A1" w:rsidRPr="00122551" w:rsidRDefault="00BD51A1" w:rsidP="00177569">
            <w:pPr>
              <w:rPr>
                <w:rFonts w:ascii="Arial" w:hAnsi="Arial"/>
                <w:color w:val="000000"/>
                <w:sz w:val="20"/>
              </w:rPr>
            </w:pPr>
            <w:r w:rsidRPr="00122551">
              <w:rPr>
                <w:rFonts w:ascii="Arial" w:hAnsi="Arial"/>
                <w:color w:val="000000"/>
                <w:sz w:val="20"/>
              </w:rPr>
              <w:t>Никола Пеев Мишев</w:t>
            </w:r>
          </w:p>
        </w:tc>
        <w:tc>
          <w:tcPr>
            <w:tcW w:w="1087" w:type="pct"/>
            <w:hideMark/>
          </w:tcPr>
          <w:p w:rsidR="00BD51A1" w:rsidRPr="008E5722" w:rsidRDefault="00BD51A1" w:rsidP="00177569">
            <w:pPr>
              <w:jc w:val="right"/>
              <w:rPr>
                <w:rFonts w:ascii="Arial" w:hAnsi="Arial"/>
                <w:color w:val="000000"/>
                <w:sz w:val="20"/>
              </w:rPr>
            </w:pPr>
            <w:r w:rsidRPr="008E5722">
              <w:rPr>
                <w:rFonts w:ascii="Arial" w:hAnsi="Arial"/>
                <w:color w:val="000000"/>
                <w:sz w:val="20"/>
              </w:rPr>
              <w:t>66 хил. лв.</w:t>
            </w:r>
          </w:p>
        </w:tc>
      </w:tr>
      <w:tr w:rsidR="00BD51A1" w:rsidRPr="00122551" w:rsidTr="00177569">
        <w:tc>
          <w:tcPr>
            <w:tcW w:w="3913" w:type="pct"/>
            <w:hideMark/>
          </w:tcPr>
          <w:p w:rsidR="00BD51A1" w:rsidRPr="00122551" w:rsidRDefault="00BD51A1" w:rsidP="00177569">
            <w:pPr>
              <w:rPr>
                <w:rFonts w:ascii="Arial" w:hAnsi="Arial"/>
                <w:color w:val="000000"/>
                <w:sz w:val="20"/>
              </w:rPr>
            </w:pPr>
            <w:r w:rsidRPr="00122551">
              <w:rPr>
                <w:rFonts w:ascii="Arial" w:hAnsi="Arial"/>
                <w:color w:val="000000"/>
                <w:sz w:val="20"/>
              </w:rPr>
              <w:t xml:space="preserve">Александър Димитров </w:t>
            </w:r>
            <w:proofErr w:type="spellStart"/>
            <w:r w:rsidRPr="00122551">
              <w:rPr>
                <w:rFonts w:ascii="Arial" w:hAnsi="Arial"/>
                <w:color w:val="000000"/>
                <w:sz w:val="20"/>
              </w:rPr>
              <w:t>Керезов</w:t>
            </w:r>
            <w:proofErr w:type="spellEnd"/>
            <w:r w:rsidRPr="00122551">
              <w:rPr>
                <w:rFonts w:ascii="Arial" w:hAnsi="Arial"/>
                <w:color w:val="000000"/>
                <w:sz w:val="20"/>
              </w:rPr>
              <w:t xml:space="preserve"> </w:t>
            </w:r>
          </w:p>
        </w:tc>
        <w:tc>
          <w:tcPr>
            <w:tcW w:w="1087" w:type="pct"/>
            <w:hideMark/>
          </w:tcPr>
          <w:p w:rsidR="00BD51A1" w:rsidRPr="008E5722" w:rsidRDefault="00BD51A1" w:rsidP="00177569">
            <w:pPr>
              <w:jc w:val="right"/>
              <w:rPr>
                <w:rFonts w:ascii="Arial" w:hAnsi="Arial"/>
                <w:color w:val="000000"/>
                <w:sz w:val="20"/>
              </w:rPr>
            </w:pPr>
            <w:r w:rsidRPr="008E5722">
              <w:rPr>
                <w:rFonts w:ascii="Arial" w:hAnsi="Arial"/>
                <w:color w:val="000000"/>
                <w:sz w:val="20"/>
              </w:rPr>
              <w:t>27 хил. лв.</w:t>
            </w:r>
          </w:p>
        </w:tc>
      </w:tr>
      <w:tr w:rsidR="00BD51A1" w:rsidRPr="00122551" w:rsidTr="00177569">
        <w:tc>
          <w:tcPr>
            <w:tcW w:w="3913" w:type="pct"/>
            <w:hideMark/>
          </w:tcPr>
          <w:p w:rsidR="00BD51A1" w:rsidRPr="00122551" w:rsidRDefault="00BD51A1" w:rsidP="00177569">
            <w:pPr>
              <w:rPr>
                <w:rFonts w:ascii="Arial" w:hAnsi="Arial"/>
                <w:color w:val="000000"/>
                <w:sz w:val="20"/>
              </w:rPr>
            </w:pPr>
            <w:r w:rsidRPr="00122551">
              <w:rPr>
                <w:rFonts w:ascii="Arial" w:hAnsi="Arial"/>
                <w:color w:val="000000"/>
                <w:sz w:val="20"/>
              </w:rPr>
              <w:t>Миролюб Панчев Иванов</w:t>
            </w:r>
          </w:p>
        </w:tc>
        <w:tc>
          <w:tcPr>
            <w:tcW w:w="1087" w:type="pct"/>
            <w:hideMark/>
          </w:tcPr>
          <w:p w:rsidR="00BD51A1" w:rsidRPr="008E5722" w:rsidRDefault="00BD51A1" w:rsidP="00177569">
            <w:pPr>
              <w:jc w:val="right"/>
              <w:rPr>
                <w:rFonts w:ascii="Arial" w:hAnsi="Arial"/>
                <w:color w:val="000000"/>
                <w:sz w:val="20"/>
              </w:rPr>
            </w:pPr>
            <w:r w:rsidRPr="008E5722">
              <w:rPr>
                <w:rFonts w:ascii="Arial" w:hAnsi="Arial"/>
                <w:color w:val="000000"/>
                <w:sz w:val="20"/>
              </w:rPr>
              <w:t>51 хил. лв.</w:t>
            </w:r>
          </w:p>
        </w:tc>
      </w:tr>
    </w:tbl>
    <w:p w:rsidR="00BD51A1" w:rsidRPr="00122551" w:rsidRDefault="00BD51A1" w:rsidP="00BD51A1">
      <w:pPr>
        <w:ind w:left="20" w:firstLine="500"/>
        <w:jc w:val="both"/>
        <w:rPr>
          <w:rFonts w:ascii="Arial" w:hAnsi="Arial"/>
          <w:sz w:val="20"/>
        </w:rPr>
      </w:pPr>
    </w:p>
    <w:p w:rsidR="00BD51A1" w:rsidRPr="00A866E4"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 xml:space="preserve">в) </w:t>
      </w:r>
      <w:r w:rsidRPr="00A866E4">
        <w:rPr>
          <w:rFonts w:ascii="Arial" w:hAnsi="Arial" w:cs="Arial"/>
          <w:i w:val="0"/>
          <w:sz w:val="20"/>
          <w:szCs w:val="20"/>
          <w:lang w:val="bg-BG"/>
        </w:rPr>
        <w:t>възнаграждение, получено от лицето под формата на разпределение на печалбата и/или бонуси и основанията за предоставянето им:</w:t>
      </w:r>
    </w:p>
    <w:p w:rsidR="00BD51A1" w:rsidRPr="004D7783" w:rsidRDefault="00BD51A1" w:rsidP="00BD51A1">
      <w:pPr>
        <w:ind w:left="20" w:firstLine="500"/>
        <w:jc w:val="both"/>
        <w:rPr>
          <w:rFonts w:ascii="Arial" w:hAnsi="Arial"/>
          <w:sz w:val="20"/>
        </w:rPr>
      </w:pPr>
      <w:r w:rsidRPr="00A866E4">
        <w:rPr>
          <w:rFonts w:ascii="Arial" w:hAnsi="Arial"/>
          <w:sz w:val="20"/>
        </w:rPr>
        <w:t>Няма такива.</w:t>
      </w:r>
    </w:p>
    <w:p w:rsidR="00BD51A1" w:rsidRPr="00122551" w:rsidRDefault="00BD51A1" w:rsidP="00BD51A1">
      <w:pPr>
        <w:ind w:left="20" w:firstLine="500"/>
        <w:jc w:val="both"/>
        <w:rPr>
          <w:rFonts w:ascii="Arial" w:hAnsi="Arial"/>
          <w:sz w:val="20"/>
        </w:rPr>
      </w:pPr>
    </w:p>
    <w:p w:rsidR="00BD51A1" w:rsidRPr="00122551"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г) всички допълнителни плащания за услуги, предоставени от лицето извън обичайните му функции, когато подобни плащания са допустими съгласно сключения с него договор</w:t>
      </w:r>
      <w:r>
        <w:rPr>
          <w:rFonts w:ascii="Arial" w:hAnsi="Arial" w:cs="Arial"/>
          <w:i w:val="0"/>
          <w:sz w:val="20"/>
          <w:szCs w:val="20"/>
          <w:lang w:val="bg-BG"/>
        </w:rPr>
        <w:t>:</w:t>
      </w:r>
    </w:p>
    <w:p w:rsidR="00BD51A1" w:rsidRPr="00122551" w:rsidRDefault="00BD51A1" w:rsidP="00BD51A1">
      <w:pPr>
        <w:ind w:left="20" w:firstLine="500"/>
        <w:jc w:val="both"/>
        <w:rPr>
          <w:rFonts w:ascii="Arial" w:hAnsi="Arial"/>
          <w:sz w:val="20"/>
        </w:rPr>
      </w:pPr>
      <w:r w:rsidRPr="00122551">
        <w:rPr>
          <w:rFonts w:ascii="Arial" w:hAnsi="Arial"/>
          <w:sz w:val="20"/>
        </w:rPr>
        <w:t>Няма такива.</w:t>
      </w:r>
    </w:p>
    <w:p w:rsidR="00BD51A1" w:rsidRPr="00122551" w:rsidRDefault="00BD51A1" w:rsidP="00BD51A1">
      <w:pPr>
        <w:ind w:left="20" w:firstLine="500"/>
        <w:jc w:val="both"/>
        <w:rPr>
          <w:rFonts w:ascii="Arial" w:hAnsi="Arial"/>
          <w:sz w:val="20"/>
        </w:rPr>
      </w:pPr>
    </w:p>
    <w:p w:rsidR="00BD51A1" w:rsidRPr="00122551"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д) платеното и/или начислено обезщетение по повод прекратяване на функциите му по време на последната финансова година</w:t>
      </w:r>
      <w:r>
        <w:rPr>
          <w:rFonts w:ascii="Arial" w:hAnsi="Arial" w:cs="Arial"/>
          <w:i w:val="0"/>
          <w:sz w:val="20"/>
          <w:szCs w:val="20"/>
          <w:lang w:val="bg-BG"/>
        </w:rPr>
        <w:t>:</w:t>
      </w:r>
    </w:p>
    <w:p w:rsidR="00BD51A1" w:rsidRPr="00122551" w:rsidRDefault="00BD51A1" w:rsidP="00BD51A1">
      <w:pPr>
        <w:ind w:left="20" w:right="20" w:firstLine="500"/>
        <w:jc w:val="both"/>
        <w:rPr>
          <w:rFonts w:ascii="Arial" w:hAnsi="Arial"/>
          <w:sz w:val="20"/>
        </w:rPr>
      </w:pPr>
      <w:r w:rsidRPr="00122551">
        <w:rPr>
          <w:rFonts w:ascii="Arial" w:hAnsi="Arial"/>
          <w:sz w:val="20"/>
        </w:rPr>
        <w:t>През последната финансова година няма платено и/или начислено обезщетение по повод на прекратяване на функциите на член на съответния съвет.</w:t>
      </w:r>
    </w:p>
    <w:p w:rsidR="00BD51A1" w:rsidRPr="00122551" w:rsidRDefault="00BD51A1" w:rsidP="00BD51A1">
      <w:pPr>
        <w:ind w:left="20" w:right="20" w:firstLine="500"/>
        <w:jc w:val="both"/>
        <w:rPr>
          <w:rFonts w:ascii="Arial" w:hAnsi="Arial"/>
          <w:sz w:val="20"/>
        </w:rPr>
      </w:pPr>
    </w:p>
    <w:p w:rsidR="00BD51A1" w:rsidRPr="00122551"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е) обща оценка на всички непарични облаги, приравнени на възнаграждения, извън посочените в букви "а" - "д"</w:t>
      </w:r>
      <w:r>
        <w:rPr>
          <w:rFonts w:ascii="Arial" w:hAnsi="Arial" w:cs="Arial"/>
          <w:i w:val="0"/>
          <w:sz w:val="20"/>
          <w:szCs w:val="20"/>
          <w:lang w:val="bg-BG"/>
        </w:rPr>
        <w:t>:</w:t>
      </w:r>
    </w:p>
    <w:p w:rsidR="00BD51A1" w:rsidRDefault="00BD51A1" w:rsidP="00BD51A1">
      <w:pPr>
        <w:ind w:left="20" w:firstLine="500"/>
        <w:jc w:val="both"/>
        <w:rPr>
          <w:rFonts w:ascii="Arial" w:hAnsi="Arial"/>
          <w:sz w:val="20"/>
        </w:rPr>
      </w:pPr>
      <w:r w:rsidRPr="00122551">
        <w:rPr>
          <w:rFonts w:ascii="Arial" w:hAnsi="Arial"/>
          <w:sz w:val="20"/>
        </w:rPr>
        <w:lastRenderedPageBreak/>
        <w:t>Няма такива.</w:t>
      </w:r>
    </w:p>
    <w:p w:rsidR="00BD51A1" w:rsidRDefault="00BD51A1" w:rsidP="00BD51A1">
      <w:pPr>
        <w:ind w:left="20" w:firstLine="500"/>
        <w:jc w:val="both"/>
        <w:rPr>
          <w:rFonts w:ascii="Arial" w:hAnsi="Arial"/>
          <w:sz w:val="20"/>
        </w:rPr>
      </w:pPr>
    </w:p>
    <w:p w:rsidR="00BD51A1" w:rsidRPr="00122551" w:rsidRDefault="00BD51A1" w:rsidP="00BD51A1">
      <w:pPr>
        <w:ind w:left="20" w:firstLine="500"/>
        <w:jc w:val="both"/>
        <w:rPr>
          <w:rFonts w:ascii="Arial" w:hAnsi="Arial"/>
          <w:sz w:val="20"/>
        </w:rPr>
      </w:pPr>
    </w:p>
    <w:p w:rsidR="00BD51A1" w:rsidRPr="00122551" w:rsidRDefault="00BD51A1" w:rsidP="00BD51A1">
      <w:pPr>
        <w:pStyle w:val="30"/>
        <w:shd w:val="clear" w:color="auto" w:fill="auto"/>
        <w:ind w:left="20" w:right="20" w:firstLine="500"/>
        <w:rPr>
          <w:rFonts w:ascii="Arial" w:hAnsi="Arial" w:cs="Arial"/>
          <w:i w:val="0"/>
          <w:sz w:val="20"/>
          <w:szCs w:val="20"/>
          <w:lang w:val="bg-BG"/>
        </w:rPr>
      </w:pPr>
      <w:r w:rsidRPr="00122551">
        <w:rPr>
          <w:rFonts w:ascii="Arial" w:hAnsi="Arial" w:cs="Arial"/>
          <w:i w:val="0"/>
          <w:sz w:val="20"/>
          <w:szCs w:val="20"/>
          <w:lang w:val="bg-BG"/>
        </w:rPr>
        <w:t>ж) информация относно всички предоставени заеми, плащания на социално-битови разходи и гаранции от дружеството или от негови дъщерни дружества или други дружества, които са предмет на консолидация в годишния му финансов отчет, включително данни за оставащата неизплатена част и лихвите</w:t>
      </w:r>
      <w:r>
        <w:rPr>
          <w:rFonts w:ascii="Arial" w:hAnsi="Arial" w:cs="Arial"/>
          <w:i w:val="0"/>
          <w:sz w:val="20"/>
          <w:szCs w:val="20"/>
          <w:lang w:val="bg-BG"/>
        </w:rPr>
        <w:t>:</w:t>
      </w:r>
    </w:p>
    <w:p w:rsidR="00BD51A1" w:rsidRPr="00122551" w:rsidRDefault="00BD51A1" w:rsidP="00BD51A1">
      <w:pPr>
        <w:ind w:left="20" w:firstLine="500"/>
        <w:jc w:val="both"/>
        <w:rPr>
          <w:rFonts w:ascii="Arial" w:hAnsi="Arial"/>
          <w:sz w:val="20"/>
        </w:rPr>
      </w:pPr>
      <w:r w:rsidRPr="00122551">
        <w:rPr>
          <w:rFonts w:ascii="Arial" w:hAnsi="Arial"/>
          <w:sz w:val="20"/>
        </w:rPr>
        <w:t>Няма такива.</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15. Информация по отношение на акциите и/или опциите върху акции и/или други схеми за стимулиране въз основа на акции;</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а) брой на предложените опции върху акции или предоставените акции от дружеството през съответната финансова година и условията</w:t>
      </w:r>
      <w:r w:rsidRPr="00122551">
        <w:rPr>
          <w:rStyle w:val="31"/>
          <w:rFonts w:ascii="Arial" w:eastAsia="Courier New" w:hAnsi="Arial" w:cs="Arial"/>
          <w:sz w:val="20"/>
          <w:szCs w:val="20"/>
        </w:rPr>
        <w:t xml:space="preserve">, </w:t>
      </w:r>
      <w:r w:rsidRPr="00122551">
        <w:rPr>
          <w:rFonts w:ascii="Arial" w:hAnsi="Arial" w:cs="Arial"/>
          <w:sz w:val="20"/>
          <w:szCs w:val="20"/>
        </w:rPr>
        <w:t>при които са предложени</w:t>
      </w:r>
      <w:r w:rsidRPr="00122551">
        <w:rPr>
          <w:rStyle w:val="31"/>
          <w:rFonts w:ascii="Arial" w:eastAsia="Courier New" w:hAnsi="Arial" w:cs="Arial"/>
          <w:sz w:val="20"/>
          <w:szCs w:val="20"/>
        </w:rPr>
        <w:t xml:space="preserve">, </w:t>
      </w:r>
      <w:r w:rsidRPr="00122551">
        <w:rPr>
          <w:rFonts w:ascii="Arial" w:hAnsi="Arial" w:cs="Arial"/>
          <w:sz w:val="20"/>
          <w:szCs w:val="20"/>
        </w:rPr>
        <w:t>съответно предоставени</w:t>
      </w:r>
      <w:r>
        <w:rPr>
          <w:rFonts w:ascii="Arial" w:hAnsi="Arial" w:cs="Arial"/>
          <w:sz w:val="20"/>
          <w:szCs w:val="20"/>
        </w:rPr>
        <w:t>:</w:t>
      </w:r>
    </w:p>
    <w:p w:rsidR="00BD51A1" w:rsidRPr="00122551" w:rsidRDefault="00BD51A1" w:rsidP="00BD51A1">
      <w:pPr>
        <w:pStyle w:val="NoSpacing"/>
        <w:ind w:firstLine="708"/>
        <w:jc w:val="both"/>
        <w:rPr>
          <w:rFonts w:ascii="Arial" w:hAnsi="Arial" w:cs="Arial"/>
          <w:iCs/>
          <w:sz w:val="20"/>
          <w:szCs w:val="20"/>
        </w:rPr>
      </w:pPr>
      <w:r w:rsidRPr="00122551">
        <w:rPr>
          <w:rFonts w:ascii="Arial" w:hAnsi="Arial" w:cs="Arial"/>
          <w:iCs/>
          <w:sz w:val="20"/>
          <w:szCs w:val="20"/>
        </w:rPr>
        <w:t>Няма такива.</w:t>
      </w:r>
    </w:p>
    <w:p w:rsidR="00BD51A1" w:rsidRPr="00122551" w:rsidRDefault="00BD51A1" w:rsidP="00BD51A1">
      <w:pPr>
        <w:pStyle w:val="NoSpacing"/>
        <w:ind w:firstLine="708"/>
        <w:jc w:val="both"/>
        <w:rPr>
          <w:rFonts w:ascii="Arial" w:hAnsi="Arial" w:cs="Arial"/>
          <w:iCs/>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б) брой на упражнените опции върху акции през съответната финансова година и за всяка от тях</w:t>
      </w:r>
      <w:r w:rsidRPr="00122551">
        <w:rPr>
          <w:rStyle w:val="31"/>
          <w:rFonts w:ascii="Arial" w:eastAsia="Courier New" w:hAnsi="Arial" w:cs="Arial"/>
          <w:sz w:val="20"/>
          <w:szCs w:val="20"/>
        </w:rPr>
        <w:t xml:space="preserve">, </w:t>
      </w:r>
      <w:r w:rsidRPr="00122551">
        <w:rPr>
          <w:rFonts w:ascii="Arial" w:hAnsi="Arial" w:cs="Arial"/>
          <w:sz w:val="20"/>
          <w:szCs w:val="20"/>
        </w:rPr>
        <w:t>брой на акциите и цената на упражняване на опцията ши стойността на лихвата по схемата за стимулиране на база акции към края на финансовата година</w:t>
      </w:r>
      <w:r>
        <w:rPr>
          <w:rFonts w:ascii="Arial" w:hAnsi="Arial" w:cs="Arial"/>
          <w:sz w:val="20"/>
          <w:szCs w:val="20"/>
        </w:rPr>
        <w:t>:</w:t>
      </w:r>
    </w:p>
    <w:p w:rsidR="00BD51A1" w:rsidRPr="00122551" w:rsidRDefault="00BD51A1" w:rsidP="00BD51A1">
      <w:pPr>
        <w:pStyle w:val="NoSpacing"/>
        <w:ind w:firstLine="708"/>
        <w:jc w:val="both"/>
        <w:rPr>
          <w:rFonts w:ascii="Arial" w:hAnsi="Arial" w:cs="Arial"/>
          <w:iCs/>
          <w:sz w:val="20"/>
          <w:szCs w:val="20"/>
        </w:rPr>
      </w:pPr>
      <w:r w:rsidRPr="00122551">
        <w:rPr>
          <w:rFonts w:ascii="Arial" w:hAnsi="Arial" w:cs="Arial"/>
          <w:iCs/>
          <w:sz w:val="20"/>
          <w:szCs w:val="20"/>
        </w:rPr>
        <w:t>Няма такива.</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 xml:space="preserve">в) брой на </w:t>
      </w:r>
      <w:proofErr w:type="spellStart"/>
      <w:r w:rsidRPr="00122551">
        <w:rPr>
          <w:rFonts w:ascii="Arial" w:hAnsi="Arial" w:cs="Arial"/>
          <w:sz w:val="20"/>
          <w:szCs w:val="20"/>
        </w:rPr>
        <w:t>неупражнените</w:t>
      </w:r>
      <w:proofErr w:type="spellEnd"/>
      <w:r w:rsidRPr="00122551">
        <w:rPr>
          <w:rFonts w:ascii="Arial" w:hAnsi="Arial" w:cs="Arial"/>
          <w:sz w:val="20"/>
          <w:szCs w:val="20"/>
        </w:rPr>
        <w:t xml:space="preserve"> опции върху акции към края на финансовата година</w:t>
      </w:r>
      <w:r w:rsidRPr="00122551">
        <w:rPr>
          <w:rStyle w:val="31"/>
          <w:rFonts w:ascii="Arial" w:eastAsia="Courier New" w:hAnsi="Arial" w:cs="Arial"/>
          <w:sz w:val="20"/>
          <w:szCs w:val="20"/>
        </w:rPr>
        <w:t xml:space="preserve">, </w:t>
      </w:r>
      <w:r w:rsidRPr="00122551">
        <w:rPr>
          <w:rFonts w:ascii="Arial" w:hAnsi="Arial" w:cs="Arial"/>
          <w:sz w:val="20"/>
          <w:szCs w:val="20"/>
        </w:rPr>
        <w:t>включително данни относно тяхната цена и дата на упражняване и съществени условия за упражняване на правата</w:t>
      </w:r>
      <w:r>
        <w:rPr>
          <w:rFonts w:ascii="Arial" w:hAnsi="Arial" w:cs="Arial"/>
          <w:sz w:val="20"/>
          <w:szCs w:val="20"/>
        </w:rPr>
        <w:t>:</w:t>
      </w: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Няма такива.</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г) всякакви промени в сроковете и условията на съществуващи опции върху акции, приети през финансовата година</w:t>
      </w:r>
      <w:r>
        <w:rPr>
          <w:rFonts w:ascii="Arial" w:hAnsi="Arial" w:cs="Arial"/>
          <w:sz w:val="20"/>
          <w:szCs w:val="20"/>
        </w:rPr>
        <w:t>:</w:t>
      </w: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Няма такива.</w:t>
      </w:r>
    </w:p>
    <w:p w:rsidR="00BD51A1" w:rsidRPr="00122551" w:rsidRDefault="00BD51A1" w:rsidP="00BD51A1">
      <w:pPr>
        <w:pStyle w:val="NoSpacing"/>
        <w:ind w:firstLine="708"/>
        <w:jc w:val="both"/>
        <w:rPr>
          <w:rFonts w:ascii="Arial" w:hAnsi="Arial" w:cs="Arial"/>
          <w:b/>
          <w:sz w:val="20"/>
          <w:szCs w:val="20"/>
        </w:rPr>
      </w:pPr>
      <w:bookmarkStart w:id="1" w:name="bookmark4"/>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16. Годишно изменение на възнаграждението, резултатите на дружеството и на средния размер на възнагражденията на основа на пълно работно време на служителите на дружеството, които не са директори, през предходните финансови години, представени заедно по начин, който да позволява съпоставяне</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А. Годишно възнаграждение на членовете на Управителния съвет на „Зърнени храни България” АД:</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55"/>
        <w:gridCol w:w="1135"/>
        <w:gridCol w:w="1277"/>
        <w:gridCol w:w="1132"/>
        <w:gridCol w:w="2060"/>
        <w:gridCol w:w="1201"/>
      </w:tblGrid>
      <w:tr w:rsidR="00BD51A1" w:rsidRPr="00122551" w:rsidTr="00177569">
        <w:tc>
          <w:tcPr>
            <w:tcW w:w="880" w:type="dxa"/>
          </w:tcPr>
          <w:p w:rsidR="00BD51A1" w:rsidRPr="00122551" w:rsidRDefault="00BD51A1" w:rsidP="00177569">
            <w:pPr>
              <w:pStyle w:val="NoSpacing"/>
              <w:rPr>
                <w:rFonts w:ascii="Arial" w:hAnsi="Arial" w:cs="Arial"/>
                <w:b/>
                <w:sz w:val="17"/>
                <w:szCs w:val="17"/>
              </w:rPr>
            </w:pPr>
            <w:bookmarkStart w:id="2" w:name="_Hlk193272491"/>
            <w:r w:rsidRPr="00122551">
              <w:rPr>
                <w:rFonts w:ascii="Arial" w:hAnsi="Arial" w:cs="Arial"/>
                <w:b/>
                <w:sz w:val="17"/>
                <w:szCs w:val="17"/>
              </w:rPr>
              <w:t>Година</w:t>
            </w:r>
          </w:p>
        </w:tc>
        <w:tc>
          <w:tcPr>
            <w:tcW w:w="1955"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Размер на възнагражденията,</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лева</w:t>
            </w:r>
          </w:p>
        </w:tc>
        <w:tc>
          <w:tcPr>
            <w:tcW w:w="1135" w:type="dxa"/>
          </w:tcPr>
          <w:p w:rsidR="00BD51A1" w:rsidRPr="00122551" w:rsidRDefault="00BD51A1" w:rsidP="00177569">
            <w:pPr>
              <w:pStyle w:val="NoSpacing"/>
              <w:ind w:hanging="80"/>
              <w:jc w:val="center"/>
              <w:rPr>
                <w:rFonts w:ascii="Arial" w:hAnsi="Arial" w:cs="Arial"/>
                <w:b/>
                <w:sz w:val="17"/>
                <w:szCs w:val="17"/>
              </w:rPr>
            </w:pPr>
            <w:r w:rsidRPr="00122551">
              <w:rPr>
                <w:rFonts w:ascii="Arial" w:hAnsi="Arial" w:cs="Arial"/>
                <w:b/>
                <w:sz w:val="17"/>
                <w:szCs w:val="17"/>
              </w:rPr>
              <w:t>Изменение</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w:t>
            </w:r>
          </w:p>
        </w:tc>
        <w:tc>
          <w:tcPr>
            <w:tcW w:w="1277"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Годишен финансов резултат,</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лева</w:t>
            </w:r>
          </w:p>
        </w:tc>
        <w:tc>
          <w:tcPr>
            <w:tcW w:w="1132" w:type="dxa"/>
          </w:tcPr>
          <w:p w:rsidR="00BD51A1" w:rsidRPr="00122551" w:rsidRDefault="00BD51A1" w:rsidP="00177569">
            <w:pPr>
              <w:pStyle w:val="NoSpacing"/>
              <w:ind w:hanging="78"/>
              <w:jc w:val="center"/>
              <w:rPr>
                <w:rFonts w:ascii="Arial" w:hAnsi="Arial" w:cs="Arial"/>
                <w:b/>
                <w:sz w:val="17"/>
                <w:szCs w:val="17"/>
              </w:rPr>
            </w:pPr>
            <w:r w:rsidRPr="00122551">
              <w:rPr>
                <w:rFonts w:ascii="Arial" w:hAnsi="Arial" w:cs="Arial"/>
                <w:b/>
                <w:sz w:val="17"/>
                <w:szCs w:val="17"/>
              </w:rPr>
              <w:t>Изменение</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w:t>
            </w:r>
          </w:p>
        </w:tc>
        <w:tc>
          <w:tcPr>
            <w:tcW w:w="2060"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Среден месечен размер на възнаграждението в дружеството,</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лева</w:t>
            </w:r>
          </w:p>
        </w:tc>
        <w:tc>
          <w:tcPr>
            <w:tcW w:w="1201"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Изменение</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w:t>
            </w:r>
          </w:p>
        </w:tc>
      </w:tr>
      <w:tr w:rsidR="00BD51A1" w:rsidRPr="00122551" w:rsidTr="00177569">
        <w:tc>
          <w:tcPr>
            <w:tcW w:w="880"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2021</w:t>
            </w:r>
          </w:p>
        </w:tc>
        <w:tc>
          <w:tcPr>
            <w:tcW w:w="1955"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21 000</w:t>
            </w:r>
          </w:p>
        </w:tc>
        <w:tc>
          <w:tcPr>
            <w:tcW w:w="1135"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100</w:t>
            </w:r>
            <w:r>
              <w:rPr>
                <w:rFonts w:ascii="Arial" w:hAnsi="Arial" w:cs="Arial"/>
                <w:sz w:val="18"/>
                <w:szCs w:val="20"/>
              </w:rPr>
              <w:t>.00</w:t>
            </w:r>
            <w:r w:rsidRPr="00BC2910">
              <w:rPr>
                <w:rFonts w:ascii="Arial" w:hAnsi="Arial" w:cs="Arial"/>
                <w:sz w:val="18"/>
                <w:szCs w:val="20"/>
              </w:rPr>
              <w:t>%</w:t>
            </w:r>
          </w:p>
        </w:tc>
        <w:tc>
          <w:tcPr>
            <w:tcW w:w="1277"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544 000</w:t>
            </w:r>
          </w:p>
        </w:tc>
        <w:tc>
          <w:tcPr>
            <w:tcW w:w="1132"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sz w:val="18"/>
              </w:rPr>
              <w:t>- 37.11 %</w:t>
            </w:r>
          </w:p>
        </w:tc>
        <w:tc>
          <w:tcPr>
            <w:tcW w:w="2060"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957</w:t>
            </w:r>
          </w:p>
        </w:tc>
        <w:tc>
          <w:tcPr>
            <w:tcW w:w="1201"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21.91 %</w:t>
            </w:r>
          </w:p>
        </w:tc>
      </w:tr>
      <w:tr w:rsidR="00BD51A1" w:rsidRPr="00122551" w:rsidTr="00177569">
        <w:tc>
          <w:tcPr>
            <w:tcW w:w="880"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2022</w:t>
            </w:r>
          </w:p>
        </w:tc>
        <w:tc>
          <w:tcPr>
            <w:tcW w:w="1955"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w:t>
            </w:r>
          </w:p>
        </w:tc>
        <w:tc>
          <w:tcPr>
            <w:tcW w:w="1135"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- 100</w:t>
            </w:r>
            <w:r>
              <w:rPr>
                <w:rFonts w:ascii="Arial" w:hAnsi="Arial" w:cs="Arial"/>
                <w:sz w:val="18"/>
                <w:szCs w:val="20"/>
              </w:rPr>
              <w:t>.00</w:t>
            </w:r>
            <w:r w:rsidRPr="00BC2910">
              <w:rPr>
                <w:rFonts w:ascii="Arial" w:hAnsi="Arial" w:cs="Arial"/>
                <w:sz w:val="18"/>
                <w:szCs w:val="20"/>
              </w:rPr>
              <w:t>%</w:t>
            </w:r>
          </w:p>
        </w:tc>
        <w:tc>
          <w:tcPr>
            <w:tcW w:w="1277"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136 000</w:t>
            </w:r>
          </w:p>
        </w:tc>
        <w:tc>
          <w:tcPr>
            <w:tcW w:w="1132"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sz w:val="18"/>
              </w:rPr>
              <w:t>- 75.00 %</w:t>
            </w:r>
          </w:p>
        </w:tc>
        <w:tc>
          <w:tcPr>
            <w:tcW w:w="2060"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1 021</w:t>
            </w:r>
          </w:p>
        </w:tc>
        <w:tc>
          <w:tcPr>
            <w:tcW w:w="1201"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6.69 %</w:t>
            </w:r>
          </w:p>
        </w:tc>
      </w:tr>
      <w:tr w:rsidR="00BD51A1" w:rsidRPr="00122551" w:rsidTr="00177569">
        <w:tc>
          <w:tcPr>
            <w:tcW w:w="880"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2023</w:t>
            </w:r>
          </w:p>
        </w:tc>
        <w:tc>
          <w:tcPr>
            <w:tcW w:w="1955"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w:t>
            </w:r>
          </w:p>
        </w:tc>
        <w:tc>
          <w:tcPr>
            <w:tcW w:w="1135"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0.00%</w:t>
            </w:r>
          </w:p>
        </w:tc>
        <w:tc>
          <w:tcPr>
            <w:tcW w:w="1277"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280 000</w:t>
            </w:r>
          </w:p>
        </w:tc>
        <w:tc>
          <w:tcPr>
            <w:tcW w:w="1132" w:type="dxa"/>
            <w:vAlign w:val="center"/>
          </w:tcPr>
          <w:p w:rsidR="00BD51A1" w:rsidRPr="00227CB8" w:rsidRDefault="00BD51A1" w:rsidP="00177569">
            <w:pPr>
              <w:jc w:val="right"/>
              <w:rPr>
                <w:rFonts w:ascii="Arial" w:hAnsi="Arial"/>
                <w:sz w:val="18"/>
                <w:highlight w:val="yellow"/>
              </w:rPr>
            </w:pPr>
            <w:r w:rsidRPr="00BC2910">
              <w:rPr>
                <w:rFonts w:ascii="Arial" w:hAnsi="Arial"/>
                <w:sz w:val="18"/>
              </w:rPr>
              <w:t>105.88 %</w:t>
            </w:r>
          </w:p>
        </w:tc>
        <w:tc>
          <w:tcPr>
            <w:tcW w:w="2060"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1 135</w:t>
            </w:r>
          </w:p>
        </w:tc>
        <w:tc>
          <w:tcPr>
            <w:tcW w:w="1201"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11.17 %</w:t>
            </w:r>
          </w:p>
        </w:tc>
      </w:tr>
      <w:tr w:rsidR="00BD51A1" w:rsidRPr="00122551" w:rsidTr="00177569">
        <w:tc>
          <w:tcPr>
            <w:tcW w:w="880"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2024</w:t>
            </w:r>
          </w:p>
        </w:tc>
        <w:tc>
          <w:tcPr>
            <w:tcW w:w="1955"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222 500</w:t>
            </w:r>
          </w:p>
        </w:tc>
        <w:tc>
          <w:tcPr>
            <w:tcW w:w="1135"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100</w:t>
            </w:r>
            <w:r>
              <w:rPr>
                <w:rFonts w:ascii="Arial" w:hAnsi="Arial" w:cs="Arial"/>
                <w:sz w:val="18"/>
                <w:szCs w:val="20"/>
              </w:rPr>
              <w:t>.00</w:t>
            </w:r>
            <w:r w:rsidRPr="00BC2910">
              <w:rPr>
                <w:rFonts w:ascii="Arial" w:hAnsi="Arial" w:cs="Arial"/>
                <w:sz w:val="18"/>
                <w:szCs w:val="20"/>
              </w:rPr>
              <w:t>%</w:t>
            </w:r>
          </w:p>
        </w:tc>
        <w:tc>
          <w:tcPr>
            <w:tcW w:w="1277" w:type="dxa"/>
            <w:vAlign w:val="center"/>
          </w:tcPr>
          <w:p w:rsidR="00BD51A1" w:rsidRPr="00227CB8" w:rsidRDefault="00BD51A1" w:rsidP="00177569">
            <w:pPr>
              <w:pStyle w:val="NoSpacing"/>
              <w:jc w:val="right"/>
              <w:rPr>
                <w:rFonts w:ascii="Arial" w:hAnsi="Arial" w:cs="Arial"/>
                <w:sz w:val="18"/>
                <w:szCs w:val="20"/>
                <w:highlight w:val="yellow"/>
              </w:rPr>
            </w:pPr>
            <w:r w:rsidRPr="00BC2910">
              <w:rPr>
                <w:rFonts w:ascii="Arial" w:hAnsi="Arial" w:cs="Arial"/>
                <w:sz w:val="18"/>
                <w:szCs w:val="20"/>
              </w:rPr>
              <w:t>178 000</w:t>
            </w:r>
          </w:p>
        </w:tc>
        <w:tc>
          <w:tcPr>
            <w:tcW w:w="1132" w:type="dxa"/>
            <w:vAlign w:val="center"/>
          </w:tcPr>
          <w:p w:rsidR="00BD51A1" w:rsidRPr="00227CB8" w:rsidRDefault="00BD51A1" w:rsidP="00177569">
            <w:pPr>
              <w:jc w:val="right"/>
              <w:rPr>
                <w:rFonts w:ascii="Arial" w:hAnsi="Arial"/>
                <w:sz w:val="18"/>
                <w:highlight w:val="yellow"/>
              </w:rPr>
            </w:pPr>
            <w:r w:rsidRPr="00BC2910">
              <w:rPr>
                <w:rFonts w:ascii="Arial" w:hAnsi="Arial"/>
                <w:sz w:val="18"/>
              </w:rPr>
              <w:t>-36.43 %</w:t>
            </w:r>
          </w:p>
        </w:tc>
        <w:tc>
          <w:tcPr>
            <w:tcW w:w="2060"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1 151</w:t>
            </w:r>
          </w:p>
        </w:tc>
        <w:tc>
          <w:tcPr>
            <w:tcW w:w="1201"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1.41 %</w:t>
            </w:r>
          </w:p>
        </w:tc>
      </w:tr>
      <w:tr w:rsidR="00BD51A1" w:rsidRPr="00122551" w:rsidTr="00177569">
        <w:tc>
          <w:tcPr>
            <w:tcW w:w="880"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w:t>
            </w:r>
            <w:r>
              <w:rPr>
                <w:rFonts w:ascii="Arial" w:hAnsi="Arial" w:cs="Arial"/>
                <w:sz w:val="18"/>
                <w:szCs w:val="20"/>
              </w:rPr>
              <w:t>5</w:t>
            </w:r>
          </w:p>
        </w:tc>
        <w:tc>
          <w:tcPr>
            <w:tcW w:w="1955" w:type="dxa"/>
            <w:vAlign w:val="center"/>
          </w:tcPr>
          <w:p w:rsidR="00BD51A1" w:rsidRPr="00227CB8" w:rsidRDefault="00BD51A1" w:rsidP="00177569">
            <w:pPr>
              <w:pStyle w:val="NoSpacing"/>
              <w:jc w:val="center"/>
              <w:rPr>
                <w:rFonts w:ascii="Arial" w:hAnsi="Arial" w:cs="Arial"/>
                <w:sz w:val="18"/>
                <w:szCs w:val="20"/>
                <w:highlight w:val="yellow"/>
              </w:rPr>
            </w:pPr>
            <w:r>
              <w:rPr>
                <w:rFonts w:ascii="Arial" w:hAnsi="Arial" w:cs="Arial"/>
                <w:sz w:val="18"/>
                <w:szCs w:val="20"/>
              </w:rPr>
              <w:t>75</w:t>
            </w:r>
            <w:r w:rsidRPr="00BC2910">
              <w:rPr>
                <w:rFonts w:ascii="Arial" w:hAnsi="Arial" w:cs="Arial"/>
                <w:sz w:val="18"/>
                <w:szCs w:val="20"/>
              </w:rPr>
              <w:t xml:space="preserve"> </w:t>
            </w:r>
            <w:r>
              <w:rPr>
                <w:rFonts w:ascii="Arial" w:hAnsi="Arial" w:cs="Arial"/>
                <w:sz w:val="18"/>
                <w:szCs w:val="20"/>
              </w:rPr>
              <w:t>0</w:t>
            </w:r>
            <w:r w:rsidRPr="00BC2910">
              <w:rPr>
                <w:rFonts w:ascii="Arial" w:hAnsi="Arial" w:cs="Arial"/>
                <w:sz w:val="18"/>
                <w:szCs w:val="20"/>
              </w:rPr>
              <w:t>00</w:t>
            </w:r>
          </w:p>
        </w:tc>
        <w:tc>
          <w:tcPr>
            <w:tcW w:w="1135" w:type="dxa"/>
            <w:vAlign w:val="center"/>
          </w:tcPr>
          <w:p w:rsidR="00BD51A1" w:rsidRPr="00A866E4" w:rsidRDefault="00BD51A1" w:rsidP="00177569">
            <w:pPr>
              <w:pStyle w:val="NoSpacing"/>
              <w:jc w:val="right"/>
              <w:rPr>
                <w:rFonts w:ascii="Arial" w:hAnsi="Arial" w:cs="Arial"/>
                <w:sz w:val="18"/>
                <w:szCs w:val="20"/>
              </w:rPr>
            </w:pPr>
            <w:r w:rsidRPr="00A866E4">
              <w:rPr>
                <w:rFonts w:ascii="Arial" w:hAnsi="Arial" w:cs="Arial"/>
                <w:sz w:val="18"/>
                <w:szCs w:val="20"/>
              </w:rPr>
              <w:t>- 66.29%</w:t>
            </w:r>
          </w:p>
        </w:tc>
        <w:tc>
          <w:tcPr>
            <w:tcW w:w="1277" w:type="dxa"/>
            <w:vAlign w:val="center"/>
          </w:tcPr>
          <w:p w:rsidR="00BD51A1" w:rsidRPr="00227CB8" w:rsidRDefault="00BD51A1" w:rsidP="00177569">
            <w:pPr>
              <w:pStyle w:val="NoSpacing"/>
              <w:jc w:val="right"/>
              <w:rPr>
                <w:rFonts w:ascii="Arial" w:hAnsi="Arial" w:cs="Arial"/>
                <w:sz w:val="18"/>
                <w:szCs w:val="20"/>
                <w:highlight w:val="yellow"/>
              </w:rPr>
            </w:pPr>
            <w:r>
              <w:rPr>
                <w:rFonts w:ascii="Arial" w:hAnsi="Arial" w:cs="Arial"/>
                <w:sz w:val="18"/>
                <w:szCs w:val="20"/>
              </w:rPr>
              <w:t>99</w:t>
            </w:r>
            <w:r w:rsidRPr="00BC2910">
              <w:rPr>
                <w:rFonts w:ascii="Arial" w:hAnsi="Arial" w:cs="Arial"/>
                <w:sz w:val="18"/>
                <w:szCs w:val="20"/>
              </w:rPr>
              <w:t xml:space="preserve"> 000</w:t>
            </w:r>
          </w:p>
        </w:tc>
        <w:tc>
          <w:tcPr>
            <w:tcW w:w="1132" w:type="dxa"/>
            <w:vAlign w:val="center"/>
          </w:tcPr>
          <w:p w:rsidR="00BD51A1" w:rsidRPr="00227CB8" w:rsidRDefault="00BD51A1" w:rsidP="00177569">
            <w:pPr>
              <w:jc w:val="right"/>
              <w:rPr>
                <w:rFonts w:ascii="Arial" w:hAnsi="Arial"/>
                <w:sz w:val="18"/>
                <w:highlight w:val="yellow"/>
              </w:rPr>
            </w:pPr>
            <w:r w:rsidRPr="00BC2910">
              <w:rPr>
                <w:rFonts w:ascii="Arial" w:hAnsi="Arial"/>
                <w:sz w:val="18"/>
              </w:rPr>
              <w:t>-</w:t>
            </w:r>
            <w:r>
              <w:rPr>
                <w:rFonts w:ascii="Arial" w:hAnsi="Arial"/>
                <w:sz w:val="18"/>
              </w:rPr>
              <w:t>44</w:t>
            </w:r>
            <w:r w:rsidRPr="00BC2910">
              <w:rPr>
                <w:rFonts w:ascii="Arial" w:hAnsi="Arial"/>
                <w:sz w:val="18"/>
              </w:rPr>
              <w:t>.</w:t>
            </w:r>
            <w:r>
              <w:rPr>
                <w:rFonts w:ascii="Arial" w:hAnsi="Arial"/>
                <w:sz w:val="18"/>
              </w:rPr>
              <w:t>38</w:t>
            </w:r>
            <w:r w:rsidRPr="00BC2910">
              <w:rPr>
                <w:rFonts w:ascii="Arial" w:hAnsi="Arial"/>
                <w:sz w:val="18"/>
              </w:rPr>
              <w:t xml:space="preserve"> %</w:t>
            </w:r>
          </w:p>
        </w:tc>
        <w:tc>
          <w:tcPr>
            <w:tcW w:w="2060" w:type="dxa"/>
            <w:vAlign w:val="center"/>
          </w:tcPr>
          <w:p w:rsidR="00BD51A1" w:rsidRPr="00227CB8" w:rsidRDefault="00BD51A1" w:rsidP="00177569">
            <w:pPr>
              <w:pStyle w:val="NoSpacing"/>
              <w:jc w:val="center"/>
              <w:rPr>
                <w:rFonts w:ascii="Arial" w:hAnsi="Arial" w:cs="Arial"/>
                <w:sz w:val="18"/>
                <w:szCs w:val="20"/>
                <w:highlight w:val="yellow"/>
              </w:rPr>
            </w:pPr>
            <w:r>
              <w:rPr>
                <w:rFonts w:ascii="Arial" w:hAnsi="Arial" w:cs="Arial"/>
                <w:sz w:val="18"/>
                <w:szCs w:val="20"/>
              </w:rPr>
              <w:t>1 345</w:t>
            </w:r>
          </w:p>
        </w:tc>
        <w:tc>
          <w:tcPr>
            <w:tcW w:w="1201" w:type="dxa"/>
            <w:vAlign w:val="center"/>
          </w:tcPr>
          <w:p w:rsidR="00BD51A1" w:rsidRPr="00227CB8" w:rsidRDefault="00BD51A1" w:rsidP="00177569">
            <w:pPr>
              <w:pStyle w:val="NoSpacing"/>
              <w:jc w:val="center"/>
              <w:rPr>
                <w:rFonts w:ascii="Arial" w:hAnsi="Arial" w:cs="Arial"/>
                <w:sz w:val="18"/>
                <w:szCs w:val="20"/>
                <w:highlight w:val="yellow"/>
              </w:rPr>
            </w:pPr>
            <w:r>
              <w:rPr>
                <w:rFonts w:ascii="Arial" w:hAnsi="Arial" w:cs="Arial"/>
                <w:sz w:val="18"/>
                <w:szCs w:val="20"/>
              </w:rPr>
              <w:t>16.85%</w:t>
            </w:r>
          </w:p>
        </w:tc>
      </w:tr>
      <w:bookmarkEnd w:id="2"/>
    </w:tbl>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Б. Годишно възнаграждение на членовете на Надзорния съвет на „Зърнени храни България” АД:</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7"/>
        <w:gridCol w:w="1134"/>
        <w:gridCol w:w="1276"/>
        <w:gridCol w:w="1134"/>
        <w:gridCol w:w="2058"/>
        <w:gridCol w:w="1202"/>
      </w:tblGrid>
      <w:tr w:rsidR="00BD51A1" w:rsidRPr="00122551" w:rsidTr="00177569">
        <w:tc>
          <w:tcPr>
            <w:tcW w:w="846" w:type="dxa"/>
          </w:tcPr>
          <w:p w:rsidR="00BD51A1" w:rsidRPr="00122551" w:rsidRDefault="00BD51A1" w:rsidP="00177569">
            <w:pPr>
              <w:pStyle w:val="NoSpacing"/>
              <w:rPr>
                <w:rFonts w:ascii="Arial" w:hAnsi="Arial" w:cs="Arial"/>
                <w:b/>
                <w:sz w:val="17"/>
                <w:szCs w:val="17"/>
              </w:rPr>
            </w:pPr>
            <w:r w:rsidRPr="00122551">
              <w:rPr>
                <w:rFonts w:ascii="Arial" w:hAnsi="Arial" w:cs="Arial"/>
                <w:b/>
                <w:sz w:val="17"/>
                <w:szCs w:val="17"/>
              </w:rPr>
              <w:t>Година</w:t>
            </w:r>
          </w:p>
        </w:tc>
        <w:tc>
          <w:tcPr>
            <w:tcW w:w="1977"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Размер на възнагражденията,</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лева</w:t>
            </w:r>
          </w:p>
        </w:tc>
        <w:tc>
          <w:tcPr>
            <w:tcW w:w="1134" w:type="dxa"/>
          </w:tcPr>
          <w:p w:rsidR="00BD51A1" w:rsidRPr="00122551" w:rsidRDefault="00BD51A1" w:rsidP="00177569">
            <w:pPr>
              <w:pStyle w:val="NoSpacing"/>
              <w:ind w:hanging="103"/>
              <w:jc w:val="center"/>
              <w:rPr>
                <w:rFonts w:ascii="Arial" w:hAnsi="Arial" w:cs="Arial"/>
                <w:b/>
                <w:sz w:val="17"/>
                <w:szCs w:val="17"/>
              </w:rPr>
            </w:pPr>
            <w:r w:rsidRPr="00122551">
              <w:rPr>
                <w:rFonts w:ascii="Arial" w:hAnsi="Arial" w:cs="Arial"/>
                <w:b/>
                <w:sz w:val="17"/>
                <w:szCs w:val="17"/>
              </w:rPr>
              <w:t>Изменение,</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w:t>
            </w:r>
          </w:p>
        </w:tc>
        <w:tc>
          <w:tcPr>
            <w:tcW w:w="1276"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Годишен финансов резултат,</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лева</w:t>
            </w:r>
          </w:p>
        </w:tc>
        <w:tc>
          <w:tcPr>
            <w:tcW w:w="1134" w:type="dxa"/>
          </w:tcPr>
          <w:p w:rsidR="00BD51A1" w:rsidRPr="00122551" w:rsidRDefault="00BD51A1" w:rsidP="00177569">
            <w:pPr>
              <w:pStyle w:val="NoSpacing"/>
              <w:ind w:hanging="101"/>
              <w:jc w:val="center"/>
              <w:rPr>
                <w:rFonts w:ascii="Arial" w:hAnsi="Arial" w:cs="Arial"/>
                <w:b/>
                <w:sz w:val="17"/>
                <w:szCs w:val="17"/>
              </w:rPr>
            </w:pPr>
            <w:r w:rsidRPr="00122551">
              <w:rPr>
                <w:rFonts w:ascii="Arial" w:hAnsi="Arial" w:cs="Arial"/>
                <w:b/>
                <w:sz w:val="17"/>
                <w:szCs w:val="17"/>
              </w:rPr>
              <w:t>Изменение</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w:t>
            </w:r>
          </w:p>
        </w:tc>
        <w:tc>
          <w:tcPr>
            <w:tcW w:w="2058"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Среден месечен размер на възнаграждението в дружеството,</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лева</w:t>
            </w:r>
          </w:p>
        </w:tc>
        <w:tc>
          <w:tcPr>
            <w:tcW w:w="1202" w:type="dxa"/>
          </w:tcPr>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Изменение</w:t>
            </w:r>
          </w:p>
          <w:p w:rsidR="00BD51A1" w:rsidRPr="00122551" w:rsidRDefault="00BD51A1" w:rsidP="00177569">
            <w:pPr>
              <w:pStyle w:val="NoSpacing"/>
              <w:jc w:val="center"/>
              <w:rPr>
                <w:rFonts w:ascii="Arial" w:hAnsi="Arial" w:cs="Arial"/>
                <w:b/>
                <w:sz w:val="17"/>
                <w:szCs w:val="17"/>
              </w:rPr>
            </w:pPr>
            <w:r w:rsidRPr="00122551">
              <w:rPr>
                <w:rFonts w:ascii="Arial" w:hAnsi="Arial" w:cs="Arial"/>
                <w:b/>
                <w:sz w:val="17"/>
                <w:szCs w:val="17"/>
              </w:rPr>
              <w:t>в %</w:t>
            </w:r>
          </w:p>
        </w:tc>
      </w:tr>
      <w:tr w:rsidR="00BD51A1" w:rsidRPr="00122551" w:rsidTr="00177569">
        <w:tc>
          <w:tcPr>
            <w:tcW w:w="846"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2021</w:t>
            </w:r>
          </w:p>
        </w:tc>
        <w:tc>
          <w:tcPr>
            <w:tcW w:w="1977"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0.00 %</w:t>
            </w:r>
          </w:p>
        </w:tc>
        <w:tc>
          <w:tcPr>
            <w:tcW w:w="1276"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544 000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sz w:val="18"/>
              </w:rPr>
              <w:t>- 37.11 %</w:t>
            </w:r>
          </w:p>
        </w:tc>
        <w:tc>
          <w:tcPr>
            <w:tcW w:w="2058"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957</w:t>
            </w:r>
          </w:p>
        </w:tc>
        <w:tc>
          <w:tcPr>
            <w:tcW w:w="1202"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21.91 %</w:t>
            </w:r>
          </w:p>
        </w:tc>
      </w:tr>
      <w:tr w:rsidR="00BD51A1" w:rsidRPr="00122551" w:rsidTr="00177569">
        <w:tc>
          <w:tcPr>
            <w:tcW w:w="846"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2022</w:t>
            </w:r>
          </w:p>
        </w:tc>
        <w:tc>
          <w:tcPr>
            <w:tcW w:w="1977"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0.00 %</w:t>
            </w:r>
          </w:p>
        </w:tc>
        <w:tc>
          <w:tcPr>
            <w:tcW w:w="1276"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136 000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sz w:val="18"/>
              </w:rPr>
              <w:t>- 75.00 %</w:t>
            </w:r>
          </w:p>
        </w:tc>
        <w:tc>
          <w:tcPr>
            <w:tcW w:w="2058"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1 021</w:t>
            </w:r>
          </w:p>
        </w:tc>
        <w:tc>
          <w:tcPr>
            <w:tcW w:w="1202"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6.69 %</w:t>
            </w:r>
          </w:p>
        </w:tc>
      </w:tr>
      <w:tr w:rsidR="00BD51A1" w:rsidRPr="00122551" w:rsidTr="00177569">
        <w:tc>
          <w:tcPr>
            <w:tcW w:w="846"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lastRenderedPageBreak/>
              <w:t>2023</w:t>
            </w:r>
          </w:p>
        </w:tc>
        <w:tc>
          <w:tcPr>
            <w:tcW w:w="1977"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0.00 %</w:t>
            </w:r>
          </w:p>
        </w:tc>
        <w:tc>
          <w:tcPr>
            <w:tcW w:w="1276"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280 000</w:t>
            </w:r>
          </w:p>
        </w:tc>
        <w:tc>
          <w:tcPr>
            <w:tcW w:w="1134"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105.88 %</w:t>
            </w:r>
          </w:p>
        </w:tc>
        <w:tc>
          <w:tcPr>
            <w:tcW w:w="2058"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1 135</w:t>
            </w:r>
          </w:p>
        </w:tc>
        <w:tc>
          <w:tcPr>
            <w:tcW w:w="1202"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11.17 %</w:t>
            </w:r>
          </w:p>
        </w:tc>
      </w:tr>
      <w:tr w:rsidR="00BD51A1" w:rsidRPr="00122551" w:rsidTr="00177569">
        <w:tc>
          <w:tcPr>
            <w:tcW w:w="846"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2024</w:t>
            </w:r>
          </w:p>
        </w:tc>
        <w:tc>
          <w:tcPr>
            <w:tcW w:w="1977"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0.00 %</w:t>
            </w:r>
          </w:p>
        </w:tc>
        <w:tc>
          <w:tcPr>
            <w:tcW w:w="1276"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178 000</w:t>
            </w:r>
          </w:p>
        </w:tc>
        <w:tc>
          <w:tcPr>
            <w:tcW w:w="1134"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-36.43 %</w:t>
            </w:r>
          </w:p>
        </w:tc>
        <w:tc>
          <w:tcPr>
            <w:tcW w:w="2058"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1 151</w:t>
            </w:r>
          </w:p>
        </w:tc>
        <w:tc>
          <w:tcPr>
            <w:tcW w:w="1202"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1.41 %</w:t>
            </w:r>
          </w:p>
        </w:tc>
      </w:tr>
      <w:tr w:rsidR="00BD51A1" w:rsidRPr="00122551" w:rsidTr="00177569">
        <w:tc>
          <w:tcPr>
            <w:tcW w:w="846" w:type="dxa"/>
            <w:vAlign w:val="center"/>
          </w:tcPr>
          <w:p w:rsidR="00BD51A1" w:rsidRPr="00122551" w:rsidRDefault="00BD51A1" w:rsidP="00177569">
            <w:pPr>
              <w:pStyle w:val="NoSpacing"/>
              <w:jc w:val="center"/>
              <w:rPr>
                <w:rFonts w:ascii="Arial" w:hAnsi="Arial" w:cs="Arial"/>
                <w:sz w:val="18"/>
                <w:szCs w:val="20"/>
              </w:rPr>
            </w:pPr>
            <w:r w:rsidRPr="00BC2910">
              <w:rPr>
                <w:rFonts w:ascii="Arial" w:hAnsi="Arial" w:cs="Arial"/>
                <w:sz w:val="18"/>
                <w:szCs w:val="20"/>
              </w:rPr>
              <w:t>202</w:t>
            </w:r>
            <w:r>
              <w:rPr>
                <w:rFonts w:ascii="Arial" w:hAnsi="Arial" w:cs="Arial"/>
                <w:sz w:val="18"/>
                <w:szCs w:val="20"/>
              </w:rPr>
              <w:t>5</w:t>
            </w:r>
          </w:p>
        </w:tc>
        <w:tc>
          <w:tcPr>
            <w:tcW w:w="1977"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0</w:t>
            </w:r>
          </w:p>
        </w:tc>
        <w:tc>
          <w:tcPr>
            <w:tcW w:w="1134" w:type="dxa"/>
            <w:vAlign w:val="center"/>
          </w:tcPr>
          <w:p w:rsidR="00BD51A1" w:rsidRPr="00227CB8" w:rsidRDefault="00BD51A1" w:rsidP="00177569">
            <w:pPr>
              <w:pStyle w:val="NoSpacing"/>
              <w:jc w:val="center"/>
              <w:rPr>
                <w:rFonts w:ascii="Arial" w:hAnsi="Arial" w:cs="Arial"/>
                <w:sz w:val="18"/>
                <w:szCs w:val="20"/>
                <w:highlight w:val="yellow"/>
              </w:rPr>
            </w:pPr>
            <w:r w:rsidRPr="00BC2910">
              <w:rPr>
                <w:rFonts w:ascii="Arial" w:hAnsi="Arial" w:cs="Arial"/>
                <w:sz w:val="18"/>
                <w:szCs w:val="20"/>
              </w:rPr>
              <w:t>0.00 %</w:t>
            </w:r>
          </w:p>
        </w:tc>
        <w:tc>
          <w:tcPr>
            <w:tcW w:w="1276" w:type="dxa"/>
            <w:vAlign w:val="center"/>
          </w:tcPr>
          <w:p w:rsidR="00BD51A1" w:rsidRPr="00227CB8" w:rsidRDefault="00BD51A1" w:rsidP="00177569">
            <w:pPr>
              <w:pStyle w:val="NoSpacing"/>
              <w:jc w:val="center"/>
              <w:rPr>
                <w:rFonts w:ascii="Arial" w:hAnsi="Arial" w:cs="Arial"/>
                <w:sz w:val="18"/>
                <w:szCs w:val="20"/>
                <w:highlight w:val="yellow"/>
              </w:rPr>
            </w:pPr>
            <w:r>
              <w:rPr>
                <w:rFonts w:ascii="Arial" w:hAnsi="Arial" w:cs="Arial"/>
                <w:sz w:val="18"/>
                <w:szCs w:val="20"/>
              </w:rPr>
              <w:t>99</w:t>
            </w:r>
            <w:r w:rsidRPr="00BC2910">
              <w:rPr>
                <w:rFonts w:ascii="Arial" w:hAnsi="Arial" w:cs="Arial"/>
                <w:sz w:val="18"/>
                <w:szCs w:val="20"/>
              </w:rPr>
              <w:t xml:space="preserve"> 000</w:t>
            </w:r>
          </w:p>
        </w:tc>
        <w:tc>
          <w:tcPr>
            <w:tcW w:w="1134" w:type="dxa"/>
            <w:vAlign w:val="center"/>
          </w:tcPr>
          <w:p w:rsidR="00BD51A1" w:rsidRPr="00227CB8" w:rsidRDefault="00BD51A1" w:rsidP="00177569">
            <w:pPr>
              <w:jc w:val="center"/>
              <w:rPr>
                <w:rFonts w:ascii="Arial" w:hAnsi="Arial"/>
                <w:sz w:val="18"/>
                <w:highlight w:val="yellow"/>
              </w:rPr>
            </w:pPr>
            <w:r w:rsidRPr="00BC2910">
              <w:rPr>
                <w:rFonts w:ascii="Arial" w:hAnsi="Arial"/>
                <w:sz w:val="18"/>
              </w:rPr>
              <w:t>-</w:t>
            </w:r>
            <w:r>
              <w:rPr>
                <w:rFonts w:ascii="Arial" w:hAnsi="Arial"/>
                <w:sz w:val="18"/>
              </w:rPr>
              <w:t>44</w:t>
            </w:r>
            <w:r w:rsidRPr="00BC2910">
              <w:rPr>
                <w:rFonts w:ascii="Arial" w:hAnsi="Arial"/>
                <w:sz w:val="18"/>
              </w:rPr>
              <w:t>.</w:t>
            </w:r>
            <w:r>
              <w:rPr>
                <w:rFonts w:ascii="Arial" w:hAnsi="Arial"/>
                <w:sz w:val="18"/>
              </w:rPr>
              <w:t>38</w:t>
            </w:r>
            <w:r w:rsidRPr="00BC2910">
              <w:rPr>
                <w:rFonts w:ascii="Arial" w:hAnsi="Arial"/>
                <w:sz w:val="18"/>
              </w:rPr>
              <w:t xml:space="preserve"> %</w:t>
            </w:r>
          </w:p>
        </w:tc>
        <w:tc>
          <w:tcPr>
            <w:tcW w:w="2058" w:type="dxa"/>
            <w:vAlign w:val="center"/>
          </w:tcPr>
          <w:p w:rsidR="00BD51A1" w:rsidRPr="00227CB8" w:rsidRDefault="00BD51A1" w:rsidP="00177569">
            <w:pPr>
              <w:pStyle w:val="NoSpacing"/>
              <w:jc w:val="center"/>
              <w:rPr>
                <w:rFonts w:ascii="Arial" w:hAnsi="Arial" w:cs="Arial"/>
                <w:sz w:val="18"/>
                <w:szCs w:val="20"/>
                <w:highlight w:val="yellow"/>
              </w:rPr>
            </w:pPr>
            <w:r>
              <w:rPr>
                <w:rFonts w:ascii="Arial" w:hAnsi="Arial" w:cs="Arial"/>
                <w:sz w:val="18"/>
                <w:szCs w:val="20"/>
              </w:rPr>
              <w:t>1 345</w:t>
            </w:r>
          </w:p>
        </w:tc>
        <w:tc>
          <w:tcPr>
            <w:tcW w:w="1202" w:type="dxa"/>
            <w:vAlign w:val="center"/>
          </w:tcPr>
          <w:p w:rsidR="00BD51A1" w:rsidRPr="00227CB8" w:rsidRDefault="00BD51A1" w:rsidP="00177569">
            <w:pPr>
              <w:pStyle w:val="NoSpacing"/>
              <w:jc w:val="center"/>
              <w:rPr>
                <w:rFonts w:ascii="Arial" w:hAnsi="Arial" w:cs="Arial"/>
                <w:sz w:val="18"/>
                <w:szCs w:val="20"/>
                <w:highlight w:val="yellow"/>
              </w:rPr>
            </w:pPr>
            <w:r>
              <w:rPr>
                <w:rFonts w:ascii="Arial" w:hAnsi="Arial" w:cs="Arial"/>
                <w:sz w:val="18"/>
                <w:szCs w:val="20"/>
              </w:rPr>
              <w:t>16.85%</w:t>
            </w:r>
          </w:p>
        </w:tc>
      </w:tr>
    </w:tbl>
    <w:p w:rsidR="00BD51A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17. Информация за упражняване на възможността да се изисква връщане на променливото възнаграждение</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В действащата Политика за възнагражденията на членовете на Надзорния и Управителния съвет на „Зърнени храни България” АД не се предвижда такъв вид възнаграждение, поради което няма информация за възможността да се изисква връщане на променливо възнаграждение от съответния член на съответен съвет. Ако такова все пак се изплати, то това ще стане единствено по решение на съответния компетентен управляващ орган на дружеството, реципрочно и този орган ще вземе решението за възможността за връщане на променливо възнаграждение.</w:t>
      </w:r>
    </w:p>
    <w:p w:rsidR="00BD51A1" w:rsidRPr="00122551" w:rsidRDefault="00BD51A1" w:rsidP="00BD51A1">
      <w:pPr>
        <w:pStyle w:val="NoSpacing"/>
        <w:jc w:val="both"/>
        <w:rPr>
          <w:rFonts w:ascii="Arial" w:hAnsi="Arial" w:cs="Arial"/>
          <w:b/>
          <w:i/>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 xml:space="preserve">18. Информация за всички отклонения от процедурата за прилагане на политиката за възнагражденията във връзка с извънредни обстоятелства по чл.11, ал.13 от </w:t>
      </w:r>
      <w:r w:rsidRPr="00122551">
        <w:rPr>
          <w:rFonts w:ascii="Arial" w:hAnsi="Arial" w:cs="Arial"/>
          <w:b/>
          <w:bCs/>
          <w:sz w:val="20"/>
          <w:szCs w:val="20"/>
        </w:rPr>
        <w:t xml:space="preserve">НАРЕДБА № 48 от 20.02.2013 г. за изискванията към възнагражденията, издадена от Комисията за финансов надзор, </w:t>
      </w:r>
      <w:r w:rsidRPr="00122551">
        <w:rPr>
          <w:rFonts w:ascii="Arial" w:hAnsi="Arial" w:cs="Arial"/>
          <w:b/>
          <w:sz w:val="20"/>
          <w:szCs w:val="20"/>
        </w:rPr>
        <w:t>включително разяснения на естеството на извънредните обстоятелства и посочване на конкретните компоненти, които не са приложени</w:t>
      </w:r>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В дружеството през изтеклата финансова 202</w:t>
      </w:r>
      <w:r w:rsidRPr="002A3F11">
        <w:rPr>
          <w:rFonts w:ascii="Arial" w:hAnsi="Arial" w:cs="Arial"/>
          <w:sz w:val="20"/>
          <w:szCs w:val="20"/>
        </w:rPr>
        <w:t>5</w:t>
      </w:r>
      <w:r w:rsidRPr="00122551">
        <w:rPr>
          <w:rFonts w:ascii="Arial" w:hAnsi="Arial" w:cs="Arial"/>
          <w:sz w:val="20"/>
          <w:szCs w:val="20"/>
        </w:rPr>
        <w:t xml:space="preserve"> г. не се извършвало отклонения от прилагането на настоящата политика за възнаграждения. </w:t>
      </w:r>
    </w:p>
    <w:p w:rsidR="00BD51A1" w:rsidRPr="00122551" w:rsidRDefault="00BD51A1" w:rsidP="00BD51A1">
      <w:pPr>
        <w:pStyle w:val="NoSpacing"/>
        <w:ind w:firstLine="708"/>
        <w:jc w:val="both"/>
        <w:rPr>
          <w:rFonts w:ascii="Arial" w:hAnsi="Arial" w:cs="Arial"/>
          <w:b/>
          <w:sz w:val="20"/>
          <w:szCs w:val="20"/>
        </w:rPr>
      </w:pPr>
    </w:p>
    <w:p w:rsidR="00BD51A1" w:rsidRPr="00122551" w:rsidRDefault="00BD51A1" w:rsidP="00BD51A1">
      <w:pPr>
        <w:pStyle w:val="NoSpacing"/>
        <w:ind w:firstLine="708"/>
        <w:jc w:val="both"/>
        <w:rPr>
          <w:rFonts w:ascii="Arial" w:hAnsi="Arial" w:cs="Arial"/>
          <w:b/>
          <w:sz w:val="20"/>
          <w:szCs w:val="20"/>
        </w:rPr>
      </w:pPr>
      <w:r w:rsidRPr="00122551">
        <w:rPr>
          <w:rFonts w:ascii="Arial" w:hAnsi="Arial" w:cs="Arial"/>
          <w:b/>
          <w:sz w:val="20"/>
          <w:szCs w:val="20"/>
        </w:rPr>
        <w:t>19. Програма за прилагане на политиката за възнагражденията за следващата финансова година или за по-дълъг период</w:t>
      </w:r>
      <w:bookmarkEnd w:id="1"/>
    </w:p>
    <w:p w:rsidR="00BD51A1" w:rsidRPr="00122551" w:rsidRDefault="00BD51A1" w:rsidP="00BD51A1">
      <w:pPr>
        <w:pStyle w:val="NoSpacing"/>
        <w:ind w:firstLine="708"/>
        <w:jc w:val="both"/>
        <w:rPr>
          <w:rFonts w:ascii="Arial" w:hAnsi="Arial" w:cs="Arial"/>
          <w:i/>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Дружеството приема да следва залегналите в Политиката за възнагражденията на членовете на Управителния и Надзорен съвети на „Зърнени храни България” АД правила, относно изплащането възнаграждения за по-дълъг период - до края на мандата. Управляващите считат, че залегналите в политиката критерии за определяне на възнагражденията към настоящия момент са ефективни, с оглед постигнатите финансови резултати през отчетния период. Членовете на съветите приемат, че при рязка промяна във финансово стопанските показатели, независимо дали ще бъдат във възходяща или низходяща посока, Програмата за определяне на възнагражденията ще бъде преразгледана и отразените в нея промени ще бъдат приети по надлежен ред от Общото събрание на акционерите, за което обществеността ще бъде информирана съгласно разпоредбите на ЗППЦК.</w:t>
      </w:r>
    </w:p>
    <w:p w:rsidR="00BD51A1" w:rsidRPr="00122551" w:rsidRDefault="00BD51A1" w:rsidP="00BD51A1">
      <w:pPr>
        <w:pStyle w:val="NoSpacing"/>
        <w:ind w:firstLine="708"/>
        <w:jc w:val="both"/>
        <w:rPr>
          <w:rFonts w:ascii="Arial" w:hAnsi="Arial" w:cs="Arial"/>
          <w:bCs/>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bCs/>
          <w:sz w:val="20"/>
          <w:szCs w:val="20"/>
        </w:rPr>
        <w:t xml:space="preserve">Настоящият доклад е изготвен от </w:t>
      </w:r>
      <w:r w:rsidRPr="00122551">
        <w:rPr>
          <w:rFonts w:ascii="Arial" w:hAnsi="Arial" w:cs="Arial"/>
          <w:sz w:val="20"/>
          <w:szCs w:val="20"/>
        </w:rPr>
        <w:t>Управителния съвет на</w:t>
      </w:r>
      <w:r w:rsidRPr="00122551">
        <w:rPr>
          <w:rFonts w:ascii="Arial" w:hAnsi="Arial" w:cs="Arial"/>
          <w:bCs/>
          <w:sz w:val="20"/>
          <w:szCs w:val="20"/>
        </w:rPr>
        <w:t xml:space="preserve"> </w:t>
      </w:r>
      <w:r w:rsidRPr="00122551">
        <w:rPr>
          <w:rFonts w:ascii="Arial" w:hAnsi="Arial" w:cs="Arial"/>
          <w:sz w:val="20"/>
          <w:szCs w:val="20"/>
        </w:rPr>
        <w:t>„Зърнени храни България” АД</w:t>
      </w:r>
      <w:r w:rsidRPr="00122551">
        <w:rPr>
          <w:rFonts w:ascii="Arial" w:hAnsi="Arial" w:cs="Arial"/>
          <w:bCs/>
          <w:sz w:val="20"/>
          <w:szCs w:val="20"/>
        </w:rPr>
        <w:t xml:space="preserve"> в съответствие с разпоредбата на чл.12, ал.1 от </w:t>
      </w:r>
      <w:r w:rsidRPr="00122551">
        <w:rPr>
          <w:rFonts w:ascii="Arial" w:hAnsi="Arial" w:cs="Arial"/>
          <w:sz w:val="20"/>
          <w:szCs w:val="20"/>
        </w:rPr>
        <w:t>НАРЕДБА № 48 на КФН от 20 март 2013 г. за изискванията към възнагражденията</w:t>
      </w:r>
      <w:r w:rsidRPr="00122551">
        <w:rPr>
          <w:rFonts w:ascii="Arial" w:hAnsi="Arial" w:cs="Arial"/>
          <w:bCs/>
          <w:sz w:val="20"/>
          <w:szCs w:val="20"/>
        </w:rPr>
        <w:t xml:space="preserve"> и </w:t>
      </w:r>
      <w:r w:rsidRPr="00122551">
        <w:rPr>
          <w:rFonts w:ascii="Arial" w:hAnsi="Arial" w:cs="Arial"/>
          <w:sz w:val="20"/>
          <w:szCs w:val="20"/>
        </w:rPr>
        <w:t>представлява самостоятелен документ към годишния финансов отчет на дружеството към 31.12.202</w:t>
      </w:r>
      <w:r w:rsidRPr="002A3F11">
        <w:rPr>
          <w:rFonts w:ascii="Arial" w:hAnsi="Arial" w:cs="Arial"/>
          <w:sz w:val="20"/>
          <w:szCs w:val="20"/>
        </w:rPr>
        <w:t>5</w:t>
      </w:r>
      <w:r w:rsidRPr="00122551">
        <w:rPr>
          <w:rFonts w:ascii="Arial" w:hAnsi="Arial" w:cs="Arial"/>
          <w:sz w:val="20"/>
          <w:szCs w:val="20"/>
        </w:rPr>
        <w:t xml:space="preserve"> г. </w:t>
      </w:r>
    </w:p>
    <w:p w:rsidR="00BD51A1" w:rsidRPr="00122551" w:rsidRDefault="00BD51A1" w:rsidP="00BD51A1">
      <w:pPr>
        <w:pStyle w:val="NoSpacing"/>
        <w:ind w:firstLine="708"/>
        <w:jc w:val="both"/>
        <w:rPr>
          <w:rFonts w:ascii="Arial" w:hAnsi="Arial" w:cs="Arial"/>
          <w:sz w:val="20"/>
          <w:szCs w:val="20"/>
        </w:rPr>
      </w:pPr>
    </w:p>
    <w:p w:rsidR="00BD51A1" w:rsidRPr="00122551" w:rsidRDefault="00BD51A1" w:rsidP="00BD51A1">
      <w:pPr>
        <w:pStyle w:val="NoSpacing"/>
        <w:ind w:firstLine="708"/>
        <w:jc w:val="both"/>
        <w:rPr>
          <w:rFonts w:ascii="Arial" w:hAnsi="Arial" w:cs="Arial"/>
          <w:sz w:val="20"/>
          <w:szCs w:val="20"/>
        </w:rPr>
      </w:pPr>
      <w:r w:rsidRPr="00122551">
        <w:rPr>
          <w:rFonts w:ascii="Arial" w:hAnsi="Arial" w:cs="Arial"/>
          <w:sz w:val="20"/>
          <w:szCs w:val="20"/>
        </w:rPr>
        <w:t>Докладът съдържа преглед на начина, по който политиката за възнагражденията е прилагана през изтеклата финансова година и към нея е приложена информация за прилагане на политиката за възнагражденията за следващата финансова година.</w:t>
      </w:r>
    </w:p>
    <w:p w:rsidR="00BD51A1" w:rsidRPr="00122551" w:rsidRDefault="00BD51A1" w:rsidP="00BD51A1">
      <w:pPr>
        <w:pStyle w:val="NoSpacing"/>
        <w:jc w:val="both"/>
        <w:rPr>
          <w:rFonts w:ascii="Arial" w:hAnsi="Arial" w:cs="Arial"/>
          <w:sz w:val="20"/>
          <w:szCs w:val="20"/>
        </w:rPr>
      </w:pPr>
    </w:p>
    <w:p w:rsidR="00BD51A1" w:rsidRPr="00122551" w:rsidRDefault="00BD51A1" w:rsidP="00BD51A1">
      <w:pPr>
        <w:pStyle w:val="NoSpacing"/>
        <w:jc w:val="both"/>
        <w:rPr>
          <w:rFonts w:ascii="Arial" w:hAnsi="Arial" w:cs="Arial"/>
          <w:b/>
          <w:sz w:val="20"/>
          <w:szCs w:val="20"/>
        </w:rPr>
      </w:pPr>
    </w:p>
    <w:p w:rsidR="00BD51A1" w:rsidRPr="00122551" w:rsidRDefault="00BD51A1" w:rsidP="00BD51A1">
      <w:pPr>
        <w:pStyle w:val="NoSpacing"/>
        <w:jc w:val="both"/>
        <w:rPr>
          <w:rFonts w:ascii="Arial" w:hAnsi="Arial" w:cs="Arial"/>
          <w:b/>
          <w:sz w:val="20"/>
          <w:szCs w:val="20"/>
        </w:rPr>
      </w:pPr>
      <w:r w:rsidRPr="00122551">
        <w:rPr>
          <w:rFonts w:ascii="Arial" w:hAnsi="Arial" w:cs="Arial"/>
          <w:b/>
          <w:sz w:val="20"/>
          <w:szCs w:val="20"/>
        </w:rPr>
        <w:t xml:space="preserve">УПРАВИТЕЛЕН СЪВЕТ </w:t>
      </w:r>
    </w:p>
    <w:p w:rsidR="00BD51A1" w:rsidRPr="00122551" w:rsidRDefault="00BD51A1" w:rsidP="00BD51A1">
      <w:pPr>
        <w:pStyle w:val="NoSpacing"/>
        <w:jc w:val="both"/>
        <w:rPr>
          <w:rFonts w:ascii="Cambria" w:hAnsi="Cambria"/>
          <w:b/>
        </w:rPr>
      </w:pPr>
      <w:r w:rsidRPr="00122551">
        <w:rPr>
          <w:rFonts w:ascii="Arial" w:hAnsi="Arial" w:cs="Arial"/>
          <w:b/>
          <w:sz w:val="20"/>
          <w:szCs w:val="20"/>
        </w:rPr>
        <w:t xml:space="preserve">НА </w:t>
      </w:r>
      <w:r w:rsidRPr="00BD51A1">
        <w:rPr>
          <w:rStyle w:val="a"/>
          <w:rFonts w:ascii="Arial" w:eastAsia="Courier New" w:hAnsi="Arial" w:cs="Arial"/>
          <w:b/>
          <w:sz w:val="20"/>
          <w:szCs w:val="20"/>
          <w:lang w:val="bg-BG"/>
        </w:rPr>
        <w:t>"ЗЪРНЕНИ ХРАНИ БЪЛГАРИЯ" АД</w:t>
      </w:r>
    </w:p>
    <w:p w:rsidR="00AD4181" w:rsidRDefault="00AD4181"/>
    <w:sectPr w:rsidR="00AD418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9742B"/>
    <w:multiLevelType w:val="hybridMultilevel"/>
    <w:tmpl w:val="E8DA781A"/>
    <w:lvl w:ilvl="0" w:tplc="DC1A8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A1"/>
    <w:rsid w:val="00AD4181"/>
    <w:rsid w:val="00BD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5DD2-42FA-4E9F-B2EC-3E713711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1A1"/>
    <w:pPr>
      <w:spacing w:after="0" w:line="240" w:lineRule="auto"/>
    </w:pPr>
    <w:rPr>
      <w:rFonts w:ascii="Garamond" w:eastAsia="Times New Roman" w:hAnsi="Garamond" w:cs="Arial"/>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ен текст"/>
    <w:rsid w:val="00BD51A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eastAsia="en-US" w:bidi="en-US"/>
    </w:rPr>
  </w:style>
  <w:style w:type="paragraph" w:styleId="NoSpacing">
    <w:name w:val="No Spacing"/>
    <w:uiPriority w:val="1"/>
    <w:qFormat/>
    <w:rsid w:val="00BD51A1"/>
    <w:pPr>
      <w:widowControl w:val="0"/>
      <w:spacing w:after="0" w:line="240" w:lineRule="auto"/>
    </w:pPr>
    <w:rPr>
      <w:rFonts w:ascii="Courier New" w:eastAsia="Courier New" w:hAnsi="Courier New" w:cs="Courier New"/>
      <w:color w:val="000000"/>
      <w:sz w:val="24"/>
      <w:szCs w:val="24"/>
      <w:lang w:val="bg-BG" w:eastAsia="bg-BG" w:bidi="bg-BG"/>
    </w:rPr>
  </w:style>
  <w:style w:type="character" w:customStyle="1" w:styleId="3">
    <w:name w:val="Основен текст (3)_"/>
    <w:link w:val="30"/>
    <w:rsid w:val="00BD51A1"/>
    <w:rPr>
      <w:i/>
      <w:iCs/>
      <w:shd w:val="clear" w:color="auto" w:fill="FFFFFF"/>
    </w:rPr>
  </w:style>
  <w:style w:type="character" w:customStyle="1" w:styleId="31">
    <w:name w:val="Основен текст (3) + Удебелен;Не е курсив"/>
    <w:rsid w:val="00BD51A1"/>
    <w:rPr>
      <w:rFonts w:ascii="Times New Roman" w:eastAsia="Times New Roman" w:hAnsi="Times New Roman"/>
      <w:b/>
      <w:bCs/>
      <w:i/>
      <w:iCs/>
      <w:color w:val="000000"/>
      <w:spacing w:val="0"/>
      <w:w w:val="100"/>
      <w:position w:val="0"/>
      <w:sz w:val="22"/>
      <w:szCs w:val="22"/>
      <w:shd w:val="clear" w:color="auto" w:fill="FFFFFF"/>
      <w:lang w:val="bg-BG" w:eastAsia="bg-BG" w:bidi="bg-BG"/>
    </w:rPr>
  </w:style>
  <w:style w:type="paragraph" w:customStyle="1" w:styleId="30">
    <w:name w:val="Основен текст (3)"/>
    <w:basedOn w:val="Normal"/>
    <w:link w:val="3"/>
    <w:rsid w:val="00BD51A1"/>
    <w:pPr>
      <w:widowControl w:val="0"/>
      <w:shd w:val="clear" w:color="auto" w:fill="FFFFFF"/>
      <w:spacing w:line="274" w:lineRule="exact"/>
      <w:jc w:val="both"/>
    </w:pPr>
    <w:rPr>
      <w:rFonts w:asciiTheme="minorHAnsi" w:eastAsiaTheme="minorHAnsi" w:hAnsiTheme="minorHAnsi" w:cstheme="minorBidi"/>
      <w:i/>
      <w:iCs/>
      <w:szCs w:val="22"/>
      <w:lang w:val="en-US"/>
    </w:rPr>
  </w:style>
  <w:style w:type="character" w:customStyle="1" w:styleId="1">
    <w:name w:val="Основен текст1"/>
    <w:rsid w:val="00BD51A1"/>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Snezhina</dc:creator>
  <cp:keywords/>
  <dc:description/>
  <cp:lastModifiedBy>Snezhina</cp:lastModifiedBy>
  <cp:revision>1</cp:revision>
  <dcterms:created xsi:type="dcterms:W3CDTF">2026-05-11T09:00:00Z</dcterms:created>
  <dcterms:modified xsi:type="dcterms:W3CDTF">2026-05-11T09:01:00Z</dcterms:modified>
</cp:coreProperties>
</file>